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autoSpaceDE w:val="0"/>
        <w:autoSpaceDN w:val="0"/>
        <w:adjustRightInd w:val="0"/>
        <w:jc w:val="center"/>
        <w:rPr>
          <w:rFonts w:ascii="华文行楷" w:eastAsia="华文行楷" w:cs="华文行楷"/>
          <w:b/>
          <w:sz w:val="96"/>
          <w:szCs w:val="96"/>
          <w:lang w:val="zh-CN"/>
        </w:rPr>
      </w:pPr>
    </w:p>
    <w:p>
      <w:pPr>
        <w:autoSpaceDE w:val="0"/>
        <w:autoSpaceDN w:val="0"/>
        <w:adjustRightInd w:val="0"/>
        <w:jc w:val="center"/>
        <w:rPr>
          <w:rFonts w:eastAsia="华文行楷"/>
          <w:b/>
          <w:sz w:val="96"/>
          <w:szCs w:val="96"/>
        </w:rPr>
      </w:pPr>
      <w:r>
        <w:rPr>
          <w:rFonts w:hint="eastAsia" w:ascii="华文行楷" w:eastAsia="华文行楷" w:cs="华文行楷"/>
          <w:b/>
          <w:sz w:val="96"/>
          <w:szCs w:val="96"/>
          <w:lang w:val="zh-CN"/>
        </w:rPr>
        <w:t>岩 土 工 程 勘 察 报 告</w:t>
      </w:r>
    </w:p>
    <w:p>
      <w:pPr>
        <w:autoSpaceDE w:val="0"/>
        <w:autoSpaceDN w:val="0"/>
        <w:adjustRightInd w:val="0"/>
        <w:rPr>
          <w:rFonts w:eastAsia="华文行楷"/>
          <w:b/>
          <w:sz w:val="36"/>
          <w:szCs w:val="36"/>
        </w:rPr>
      </w:pPr>
    </w:p>
    <w:p>
      <w:pPr>
        <w:autoSpaceDE w:val="0"/>
        <w:autoSpaceDN w:val="0"/>
        <w:adjustRightInd w:val="0"/>
        <w:rPr>
          <w:rFonts w:eastAsia="华文行楷"/>
          <w:b/>
          <w:sz w:val="36"/>
          <w:szCs w:val="36"/>
        </w:rPr>
      </w:pPr>
    </w:p>
    <w:p>
      <w:pPr>
        <w:autoSpaceDE w:val="0"/>
        <w:autoSpaceDN w:val="0"/>
        <w:adjustRightInd w:val="0"/>
        <w:rPr>
          <w:rFonts w:eastAsia="华文行楷"/>
          <w:b/>
          <w:sz w:val="36"/>
          <w:szCs w:val="36"/>
        </w:rPr>
      </w:pPr>
    </w:p>
    <w:p>
      <w:pPr>
        <w:autoSpaceDE w:val="0"/>
        <w:autoSpaceDN w:val="0"/>
        <w:adjustRightInd w:val="0"/>
        <w:rPr>
          <w:rFonts w:eastAsia="华文行楷"/>
          <w:b/>
          <w:sz w:val="36"/>
          <w:szCs w:val="36"/>
        </w:rPr>
      </w:pPr>
    </w:p>
    <w:p>
      <w:pPr>
        <w:autoSpaceDE w:val="0"/>
        <w:autoSpaceDN w:val="0"/>
        <w:adjustRightInd w:val="0"/>
        <w:rPr>
          <w:rFonts w:eastAsia="华文行楷"/>
          <w:b/>
          <w:sz w:val="36"/>
          <w:szCs w:val="36"/>
        </w:rPr>
      </w:pPr>
    </w:p>
    <w:p>
      <w:pPr>
        <w:autoSpaceDE w:val="0"/>
        <w:autoSpaceDN w:val="0"/>
        <w:adjustRightInd w:val="0"/>
        <w:spacing w:line="800" w:lineRule="exact"/>
        <w:ind w:firstLine="6501" w:firstLineChars="1806"/>
        <w:rPr>
          <w:rFonts w:ascii="黑体" w:hAnsi="黑体" w:eastAsia="黑体" w:cs="宋体"/>
          <w:sz w:val="36"/>
          <w:szCs w:val="36"/>
        </w:rPr>
      </w:pPr>
      <w:r>
        <w:rPr>
          <w:rFonts w:hint="eastAsia" w:ascii="黑体" w:hAnsi="黑体" w:eastAsia="黑体" w:cs="宋体"/>
          <w:sz w:val="36"/>
          <w:szCs w:val="36"/>
          <w:lang w:val="zh-CN"/>
        </w:rPr>
        <w:t>工程名称：16号地块</w:t>
      </w:r>
    </w:p>
    <w:p>
      <w:pPr>
        <w:tabs>
          <w:tab w:val="left" w:pos="7817"/>
        </w:tabs>
        <w:autoSpaceDE w:val="0"/>
        <w:autoSpaceDN w:val="0"/>
        <w:adjustRightInd w:val="0"/>
        <w:spacing w:line="800" w:lineRule="exact"/>
        <w:ind w:firstLine="6501" w:firstLineChars="1806"/>
        <w:rPr>
          <w:rFonts w:ascii="宋体" w:cs="宋体"/>
          <w:sz w:val="36"/>
          <w:szCs w:val="36"/>
        </w:rPr>
      </w:pPr>
      <w:r>
        <w:rPr>
          <w:rFonts w:hint="eastAsia" w:ascii="黑体" w:hAnsi="黑体" w:eastAsia="黑体" w:cs="宋体"/>
          <w:sz w:val="36"/>
          <w:szCs w:val="36"/>
          <w:lang w:val="zh-CN"/>
        </w:rPr>
        <w:t>工程编号：2020-</w:t>
      </w:r>
      <w:r>
        <w:rPr>
          <w:rFonts w:ascii="黑体" w:hAnsi="黑体" w:eastAsia="黑体" w:cs="宋体"/>
          <w:sz w:val="36"/>
          <w:szCs w:val="36"/>
          <w:lang w:val="zh-CN"/>
        </w:rPr>
        <w:tab/>
      </w:r>
    </w:p>
    <w:p>
      <w:pPr>
        <w:autoSpaceDE w:val="0"/>
        <w:autoSpaceDN w:val="0"/>
        <w:adjustRightInd w:val="0"/>
        <w:spacing w:line="800" w:lineRule="exact"/>
        <w:ind w:firstLine="6501" w:firstLineChars="1806"/>
        <w:rPr>
          <w:rFonts w:ascii="黑体" w:hAnsi="黑体" w:eastAsia="黑体" w:cs="宋体"/>
          <w:sz w:val="36"/>
          <w:szCs w:val="36"/>
          <w:lang w:val="zh-CN"/>
        </w:rPr>
      </w:pPr>
      <w:r>
        <w:rPr>
          <w:rFonts w:hint="eastAsia" w:ascii="黑体" w:hAnsi="黑体" w:eastAsia="黑体" w:cs="宋体"/>
          <w:sz w:val="36"/>
          <w:szCs w:val="36"/>
          <w:lang w:val="zh-CN"/>
        </w:rPr>
        <w:t>工程地点：长春市生态大街</w:t>
      </w:r>
    </w:p>
    <w:p>
      <w:pPr>
        <w:autoSpaceDE w:val="0"/>
        <w:autoSpaceDN w:val="0"/>
        <w:adjustRightInd w:val="0"/>
        <w:spacing w:line="800" w:lineRule="exact"/>
        <w:ind w:firstLine="6501" w:firstLineChars="1806"/>
        <w:rPr>
          <w:sz w:val="36"/>
          <w:szCs w:val="36"/>
          <w:lang w:val="zh-CN"/>
        </w:rPr>
      </w:pPr>
      <w:r>
        <w:rPr>
          <w:rFonts w:hint="eastAsia" w:ascii="黑体" w:hAnsi="黑体" w:eastAsia="黑体" w:cs="宋体"/>
          <w:sz w:val="36"/>
          <w:szCs w:val="36"/>
          <w:lang w:val="zh-CN"/>
        </w:rPr>
        <w:t xml:space="preserve">勘察阶段：详细勘察 </w:t>
      </w:r>
      <w:r>
        <w:rPr>
          <w:rFonts w:hint="eastAsia"/>
          <w:sz w:val="36"/>
          <w:szCs w:val="36"/>
          <w:lang w:val="zh-CN"/>
        </w:rPr>
        <w:t xml:space="preserve"> </w:t>
      </w:r>
    </w:p>
    <w:p>
      <w:pPr>
        <w:autoSpaceDE w:val="0"/>
        <w:autoSpaceDN w:val="0"/>
        <w:adjustRightInd w:val="0"/>
        <w:spacing w:line="800" w:lineRule="exact"/>
        <w:ind w:firstLine="6501" w:firstLineChars="1806"/>
        <w:rPr>
          <w:sz w:val="36"/>
          <w:szCs w:val="36"/>
          <w:lang w:val="zh-CN"/>
        </w:rPr>
      </w:pPr>
      <w:r>
        <w:rPr>
          <w:rFonts w:ascii="黑体" w:hAnsi="黑体" w:eastAsia="黑体" w:cs="宋体"/>
          <w:sz w:val="36"/>
          <w:szCs w:val="36"/>
          <w:lang w:val="zh-CN"/>
        </w:rPr>
        <w:t>提交日期：</w:t>
      </w:r>
    </w:p>
    <w:p>
      <w:pPr>
        <w:tabs>
          <w:tab w:val="left" w:pos="8640"/>
        </w:tabs>
        <w:autoSpaceDE w:val="0"/>
        <w:autoSpaceDN w:val="0"/>
        <w:adjustRightInd w:val="0"/>
        <w:spacing w:line="1000" w:lineRule="exact"/>
        <w:ind w:firstLine="2370" w:firstLineChars="454"/>
        <w:rPr>
          <w:b/>
          <w:sz w:val="52"/>
          <w:szCs w:val="52"/>
        </w:rPr>
      </w:pPr>
      <w:r>
        <w:rPr>
          <w:b/>
          <w:sz w:val="52"/>
          <w:szCs w:val="52"/>
        </w:rPr>
        <w:tab/>
      </w:r>
    </w:p>
    <w:p>
      <w:pPr>
        <w:autoSpaceDE w:val="0"/>
        <w:autoSpaceDN w:val="0"/>
        <w:adjustRightInd w:val="0"/>
        <w:spacing w:line="1000" w:lineRule="exact"/>
        <w:ind w:firstLine="2370" w:firstLineChars="454"/>
        <w:rPr>
          <w:b/>
          <w:sz w:val="52"/>
          <w:szCs w:val="52"/>
        </w:rPr>
      </w:pPr>
    </w:p>
    <w:p>
      <w:pPr>
        <w:autoSpaceDE w:val="0"/>
        <w:autoSpaceDN w:val="0"/>
        <w:adjustRightInd w:val="0"/>
        <w:jc w:val="center"/>
        <w:rPr>
          <w:sz w:val="32"/>
          <w:szCs w:val="32"/>
        </w:rPr>
      </w:pPr>
      <w:r>
        <w:rPr>
          <w:rFonts w:ascii="宋体" w:cs="宋体"/>
          <w:b/>
          <w:bCs/>
          <w:color w:val="000000"/>
          <w:sz w:val="36"/>
          <w:szCs w:val="36"/>
          <w:lang w:val="zh-CN"/>
        </w:rPr>
        <w:br w:type="page"/>
      </w:r>
      <w:r>
        <w:rPr>
          <w:rFonts w:hint="eastAsia" w:ascii="宋体" w:cs="宋体"/>
          <w:b/>
          <w:bCs/>
          <w:sz w:val="36"/>
          <w:szCs w:val="36"/>
          <w:lang w:val="zh-CN"/>
        </w:rPr>
        <w:t xml:space="preserve">签 </w:t>
      </w:r>
      <w:r>
        <w:rPr>
          <w:b/>
          <w:bCs/>
          <w:sz w:val="36"/>
          <w:szCs w:val="36"/>
        </w:rPr>
        <w:t xml:space="preserve"> </w:t>
      </w:r>
      <w:r>
        <w:rPr>
          <w:rFonts w:hint="eastAsia" w:ascii="宋体" w:cs="宋体"/>
          <w:b/>
          <w:bCs/>
          <w:sz w:val="36"/>
          <w:szCs w:val="36"/>
          <w:lang w:val="zh-CN"/>
        </w:rPr>
        <w:t>章</w:t>
      </w:r>
      <w:r>
        <w:rPr>
          <w:b/>
          <w:bCs/>
          <w:sz w:val="36"/>
          <w:szCs w:val="36"/>
        </w:rPr>
        <w:t xml:space="preserve"> </w:t>
      </w:r>
      <w:r>
        <w:rPr>
          <w:rFonts w:hint="eastAsia"/>
          <w:b/>
          <w:bCs/>
          <w:sz w:val="36"/>
          <w:szCs w:val="36"/>
        </w:rPr>
        <w:t xml:space="preserve"> </w:t>
      </w:r>
      <w:r>
        <w:rPr>
          <w:rFonts w:hint="eastAsia" w:ascii="宋体" w:cs="宋体"/>
          <w:b/>
          <w:bCs/>
          <w:sz w:val="36"/>
          <w:szCs w:val="36"/>
          <w:lang w:val="zh-CN"/>
        </w:rPr>
        <w:t>栏</w:t>
      </w:r>
    </w:p>
    <w:p>
      <w:pPr>
        <w:autoSpaceDE w:val="0"/>
        <w:autoSpaceDN w:val="0"/>
        <w:adjustRightInd w:val="0"/>
        <w:rPr>
          <w:szCs w:val="21"/>
        </w:rPr>
      </w:pPr>
    </w:p>
    <w:tbl>
      <w:tblPr>
        <w:tblStyle w:val="13"/>
        <w:tblW w:w="21248" w:type="dxa"/>
        <w:tblInd w:w="280" w:type="dxa"/>
        <w:tblLayout w:type="fixed"/>
        <w:tblCellMar>
          <w:top w:w="0" w:type="dxa"/>
          <w:left w:w="108" w:type="dxa"/>
          <w:bottom w:w="0" w:type="dxa"/>
          <w:right w:w="108" w:type="dxa"/>
        </w:tblCellMar>
      </w:tblPr>
      <w:tblGrid>
        <w:gridCol w:w="2156"/>
        <w:gridCol w:w="6132"/>
        <w:gridCol w:w="7416"/>
        <w:gridCol w:w="5544"/>
      </w:tblGrid>
      <w:tr>
        <w:tblPrEx>
          <w:tblCellMar>
            <w:top w:w="0" w:type="dxa"/>
            <w:left w:w="108" w:type="dxa"/>
            <w:bottom w:w="0" w:type="dxa"/>
            <w:right w:w="108" w:type="dxa"/>
          </w:tblCellMar>
        </w:tblPrEx>
        <w:trPr>
          <w:trHeight w:val="1247" w:hRule="atLeast"/>
        </w:trPr>
        <w:tc>
          <w:tcPr>
            <w:tcW w:w="2156" w:type="dxa"/>
            <w:tcBorders>
              <w:top w:val="single" w:color="auto" w:sz="12" w:space="0"/>
              <w:left w:val="single" w:color="auto" w:sz="12" w:space="0"/>
              <w:bottom w:val="single" w:color="auto" w:sz="6" w:space="0"/>
              <w:right w:val="single" w:color="auto" w:sz="6" w:space="0"/>
            </w:tcBorders>
            <w:vAlign w:val="center"/>
          </w:tcPr>
          <w:p>
            <w:pPr>
              <w:autoSpaceDE w:val="0"/>
              <w:autoSpaceDN w:val="0"/>
              <w:adjustRightInd w:val="0"/>
              <w:ind w:left="113" w:right="113"/>
              <w:jc w:val="center"/>
              <w:rPr>
                <w:sz w:val="28"/>
                <w:szCs w:val="28"/>
              </w:rPr>
            </w:pPr>
            <w:r>
              <w:rPr>
                <w:rFonts w:hint="eastAsia" w:ascii="宋体" w:cs="宋体"/>
                <w:sz w:val="28"/>
                <w:szCs w:val="28"/>
                <w:lang w:val="zh-CN"/>
              </w:rPr>
              <w:t>责任人</w:t>
            </w:r>
          </w:p>
        </w:tc>
        <w:tc>
          <w:tcPr>
            <w:tcW w:w="6132" w:type="dxa"/>
            <w:tcBorders>
              <w:top w:val="single" w:color="auto" w:sz="12" w:space="0"/>
              <w:left w:val="single" w:color="auto" w:sz="6" w:space="0"/>
              <w:bottom w:val="single" w:color="auto" w:sz="6" w:space="0"/>
              <w:right w:val="single" w:color="auto" w:sz="6" w:space="0"/>
            </w:tcBorders>
            <w:vAlign w:val="center"/>
          </w:tcPr>
          <w:p>
            <w:pPr>
              <w:autoSpaceDE w:val="0"/>
              <w:autoSpaceDN w:val="0"/>
              <w:adjustRightInd w:val="0"/>
              <w:ind w:left="113" w:right="113"/>
              <w:jc w:val="center"/>
              <w:rPr>
                <w:sz w:val="28"/>
                <w:szCs w:val="28"/>
              </w:rPr>
            </w:pPr>
            <w:r>
              <w:rPr>
                <w:rFonts w:hint="eastAsia" w:ascii="宋体" w:cs="宋体"/>
                <w:sz w:val="28"/>
                <w:szCs w:val="28"/>
                <w:lang w:val="zh-CN"/>
              </w:rPr>
              <w:t>签</w:t>
            </w:r>
            <w:r>
              <w:rPr>
                <w:sz w:val="28"/>
                <w:szCs w:val="28"/>
              </w:rPr>
              <w:t xml:space="preserve">  </w:t>
            </w:r>
            <w:r>
              <w:rPr>
                <w:rFonts w:hint="eastAsia" w:ascii="宋体" w:cs="宋体"/>
                <w:sz w:val="28"/>
                <w:szCs w:val="28"/>
                <w:lang w:val="zh-CN"/>
              </w:rPr>
              <w:t>字</w:t>
            </w:r>
          </w:p>
        </w:tc>
        <w:tc>
          <w:tcPr>
            <w:tcW w:w="7416" w:type="dxa"/>
            <w:tcBorders>
              <w:top w:val="single" w:color="auto" w:sz="12" w:space="0"/>
              <w:left w:val="single" w:color="auto" w:sz="6" w:space="0"/>
              <w:bottom w:val="single" w:color="auto" w:sz="6" w:space="0"/>
              <w:right w:val="single" w:color="auto" w:sz="6" w:space="0"/>
            </w:tcBorders>
            <w:vAlign w:val="center"/>
          </w:tcPr>
          <w:p>
            <w:pPr>
              <w:autoSpaceDE w:val="0"/>
              <w:autoSpaceDN w:val="0"/>
              <w:adjustRightInd w:val="0"/>
              <w:ind w:left="113" w:right="113"/>
              <w:jc w:val="center"/>
              <w:rPr>
                <w:sz w:val="28"/>
                <w:szCs w:val="28"/>
              </w:rPr>
            </w:pPr>
            <w:r>
              <w:rPr>
                <w:rFonts w:hint="eastAsia" w:ascii="宋体" w:cs="宋体"/>
                <w:sz w:val="28"/>
                <w:szCs w:val="28"/>
                <w:lang w:val="zh-CN"/>
              </w:rPr>
              <w:t>名  章</w:t>
            </w:r>
          </w:p>
        </w:tc>
        <w:tc>
          <w:tcPr>
            <w:tcW w:w="5544" w:type="dxa"/>
            <w:tcBorders>
              <w:top w:val="single" w:color="auto" w:sz="12" w:space="0"/>
              <w:left w:val="single" w:color="auto" w:sz="6" w:space="0"/>
              <w:bottom w:val="single" w:color="auto" w:sz="6" w:space="0"/>
              <w:right w:val="single" w:color="auto" w:sz="12" w:space="0"/>
            </w:tcBorders>
            <w:vAlign w:val="center"/>
          </w:tcPr>
          <w:p>
            <w:pPr>
              <w:autoSpaceDE w:val="0"/>
              <w:autoSpaceDN w:val="0"/>
              <w:adjustRightInd w:val="0"/>
              <w:ind w:left="113" w:right="113"/>
              <w:jc w:val="center"/>
              <w:rPr>
                <w:sz w:val="28"/>
                <w:szCs w:val="28"/>
              </w:rPr>
            </w:pPr>
            <w:r>
              <w:rPr>
                <w:rFonts w:hint="eastAsia" w:ascii="宋体" w:cs="宋体"/>
                <w:sz w:val="28"/>
                <w:szCs w:val="28"/>
                <w:lang w:val="zh-CN"/>
              </w:rPr>
              <w:t>日</w:t>
            </w:r>
            <w:r>
              <w:rPr>
                <w:sz w:val="28"/>
                <w:szCs w:val="28"/>
              </w:rPr>
              <w:t xml:space="preserve">  </w:t>
            </w:r>
            <w:r>
              <w:rPr>
                <w:rFonts w:hint="eastAsia" w:ascii="宋体" w:cs="宋体"/>
                <w:sz w:val="28"/>
                <w:szCs w:val="28"/>
                <w:lang w:val="zh-CN"/>
              </w:rPr>
              <w:t>期</w:t>
            </w:r>
          </w:p>
        </w:tc>
      </w:tr>
      <w:tr>
        <w:tblPrEx>
          <w:tblCellMar>
            <w:top w:w="0" w:type="dxa"/>
            <w:left w:w="108" w:type="dxa"/>
            <w:bottom w:w="0" w:type="dxa"/>
            <w:right w:w="108" w:type="dxa"/>
          </w:tblCellMar>
        </w:tblPrEx>
        <w:trPr>
          <w:trHeight w:val="1247" w:hRule="atLeast"/>
        </w:trPr>
        <w:tc>
          <w:tcPr>
            <w:tcW w:w="2156" w:type="dxa"/>
            <w:tcBorders>
              <w:top w:val="single" w:color="auto" w:sz="6" w:space="0"/>
              <w:left w:val="single" w:color="auto" w:sz="12" w:space="0"/>
              <w:bottom w:val="single" w:color="auto" w:sz="6" w:space="0"/>
              <w:right w:val="single" w:color="auto" w:sz="6" w:space="0"/>
            </w:tcBorders>
            <w:vAlign w:val="center"/>
          </w:tcPr>
          <w:p>
            <w:pPr>
              <w:autoSpaceDE w:val="0"/>
              <w:autoSpaceDN w:val="0"/>
              <w:adjustRightInd w:val="0"/>
              <w:ind w:left="113" w:right="113"/>
              <w:jc w:val="center"/>
              <w:rPr>
                <w:rFonts w:ascii="宋体" w:cs="宋体"/>
                <w:sz w:val="28"/>
                <w:szCs w:val="28"/>
              </w:rPr>
            </w:pPr>
            <w:r>
              <w:rPr>
                <w:rFonts w:hint="eastAsia" w:ascii="宋体" w:cs="宋体"/>
                <w:sz w:val="28"/>
                <w:szCs w:val="28"/>
                <w:lang w:val="zh-CN"/>
              </w:rPr>
              <w:t>法定代表人</w:t>
            </w:r>
          </w:p>
          <w:p>
            <w:pPr>
              <w:autoSpaceDE w:val="0"/>
              <w:autoSpaceDN w:val="0"/>
              <w:adjustRightInd w:val="0"/>
              <w:ind w:left="113" w:right="113"/>
              <w:jc w:val="center"/>
              <w:rPr>
                <w:rFonts w:ascii="宋体" w:cs="宋体"/>
                <w:sz w:val="28"/>
                <w:szCs w:val="28"/>
              </w:rPr>
            </w:pPr>
            <w:r>
              <w:rPr>
                <w:rFonts w:hint="eastAsia" w:ascii="宋体" w:cs="宋体"/>
                <w:sz w:val="28"/>
                <w:szCs w:val="28"/>
                <w:lang w:val="zh-CN"/>
              </w:rPr>
              <w:t>或委托代理人</w:t>
            </w:r>
          </w:p>
        </w:tc>
        <w:tc>
          <w:tcPr>
            <w:tcW w:w="613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left="113" w:right="113"/>
              <w:jc w:val="center"/>
              <w:rPr>
                <w:rFonts w:ascii="宋体" w:cs="宋体"/>
                <w:sz w:val="28"/>
                <w:szCs w:val="28"/>
              </w:rPr>
            </w:pPr>
          </w:p>
        </w:tc>
        <w:tc>
          <w:tcPr>
            <w:tcW w:w="74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left="113" w:right="113"/>
              <w:jc w:val="center"/>
              <w:rPr>
                <w:rFonts w:ascii="宋体" w:cs="宋体"/>
                <w:sz w:val="28"/>
                <w:szCs w:val="28"/>
              </w:rPr>
            </w:pPr>
          </w:p>
        </w:tc>
        <w:tc>
          <w:tcPr>
            <w:tcW w:w="5544" w:type="dxa"/>
            <w:tcBorders>
              <w:top w:val="single" w:color="auto" w:sz="6" w:space="0"/>
              <w:left w:val="single" w:color="auto" w:sz="6" w:space="0"/>
              <w:bottom w:val="single" w:color="auto" w:sz="6" w:space="0"/>
              <w:right w:val="single" w:color="auto" w:sz="12" w:space="0"/>
            </w:tcBorders>
            <w:vAlign w:val="center"/>
          </w:tcPr>
          <w:p>
            <w:pPr>
              <w:autoSpaceDE w:val="0"/>
              <w:autoSpaceDN w:val="0"/>
              <w:adjustRightInd w:val="0"/>
              <w:ind w:left="113" w:right="113"/>
              <w:jc w:val="center"/>
              <w:rPr>
                <w:rFonts w:ascii="宋体" w:cs="宋体"/>
                <w:sz w:val="28"/>
                <w:szCs w:val="28"/>
                <w:lang w:val="zh-CN"/>
              </w:rPr>
            </w:pPr>
          </w:p>
        </w:tc>
      </w:tr>
      <w:tr>
        <w:tblPrEx>
          <w:tblCellMar>
            <w:top w:w="0" w:type="dxa"/>
            <w:left w:w="108" w:type="dxa"/>
            <w:bottom w:w="0" w:type="dxa"/>
            <w:right w:w="108" w:type="dxa"/>
          </w:tblCellMar>
        </w:tblPrEx>
        <w:trPr>
          <w:trHeight w:val="1247" w:hRule="atLeast"/>
        </w:trPr>
        <w:tc>
          <w:tcPr>
            <w:tcW w:w="2156" w:type="dxa"/>
            <w:tcBorders>
              <w:top w:val="single" w:color="auto" w:sz="6" w:space="0"/>
              <w:left w:val="single" w:color="auto" w:sz="12" w:space="0"/>
              <w:bottom w:val="single" w:color="auto" w:sz="6" w:space="0"/>
              <w:right w:val="single" w:color="auto" w:sz="6" w:space="0"/>
            </w:tcBorders>
            <w:vAlign w:val="center"/>
          </w:tcPr>
          <w:p>
            <w:pPr>
              <w:autoSpaceDE w:val="0"/>
              <w:autoSpaceDN w:val="0"/>
              <w:adjustRightInd w:val="0"/>
              <w:ind w:left="113" w:right="113"/>
              <w:jc w:val="center"/>
              <w:rPr>
                <w:rFonts w:ascii="宋体" w:cs="宋体"/>
                <w:sz w:val="28"/>
                <w:szCs w:val="28"/>
                <w:lang w:val="zh-CN"/>
              </w:rPr>
            </w:pPr>
            <w:r>
              <w:rPr>
                <w:rFonts w:hint="eastAsia" w:ascii="宋体" w:cs="宋体"/>
                <w:sz w:val="28"/>
                <w:szCs w:val="28"/>
                <w:lang w:val="zh-CN"/>
              </w:rPr>
              <w:t>审定人</w:t>
            </w:r>
          </w:p>
        </w:tc>
        <w:tc>
          <w:tcPr>
            <w:tcW w:w="613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left="113" w:right="113"/>
              <w:jc w:val="center"/>
              <w:rPr>
                <w:rFonts w:ascii="宋体" w:cs="宋体"/>
                <w:sz w:val="28"/>
                <w:szCs w:val="28"/>
                <w:lang w:val="zh-CN"/>
              </w:rPr>
            </w:pPr>
          </w:p>
        </w:tc>
        <w:tc>
          <w:tcPr>
            <w:tcW w:w="74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left="113" w:right="113"/>
              <w:jc w:val="center"/>
              <w:rPr>
                <w:rFonts w:ascii="宋体" w:cs="宋体"/>
                <w:sz w:val="28"/>
                <w:szCs w:val="28"/>
                <w:lang w:val="zh-CN"/>
              </w:rPr>
            </w:pPr>
          </w:p>
        </w:tc>
        <w:tc>
          <w:tcPr>
            <w:tcW w:w="5544" w:type="dxa"/>
            <w:tcBorders>
              <w:top w:val="single" w:color="auto" w:sz="6" w:space="0"/>
              <w:left w:val="single" w:color="auto" w:sz="6" w:space="0"/>
              <w:bottom w:val="single" w:color="auto" w:sz="6" w:space="0"/>
              <w:right w:val="single" w:color="auto" w:sz="12" w:space="0"/>
            </w:tcBorders>
            <w:vAlign w:val="center"/>
          </w:tcPr>
          <w:p>
            <w:pPr>
              <w:autoSpaceDE w:val="0"/>
              <w:autoSpaceDN w:val="0"/>
              <w:adjustRightInd w:val="0"/>
              <w:ind w:left="113" w:right="113"/>
              <w:jc w:val="center"/>
              <w:rPr>
                <w:rFonts w:ascii="宋体" w:cs="宋体"/>
                <w:sz w:val="28"/>
                <w:szCs w:val="28"/>
                <w:lang w:val="zh-CN"/>
              </w:rPr>
            </w:pPr>
          </w:p>
        </w:tc>
      </w:tr>
      <w:tr>
        <w:tblPrEx>
          <w:tblCellMar>
            <w:top w:w="0" w:type="dxa"/>
            <w:left w:w="108" w:type="dxa"/>
            <w:bottom w:w="0" w:type="dxa"/>
            <w:right w:w="108" w:type="dxa"/>
          </w:tblCellMar>
        </w:tblPrEx>
        <w:trPr>
          <w:trHeight w:val="1247" w:hRule="atLeast"/>
        </w:trPr>
        <w:tc>
          <w:tcPr>
            <w:tcW w:w="2156" w:type="dxa"/>
            <w:tcBorders>
              <w:top w:val="single" w:color="auto" w:sz="6" w:space="0"/>
              <w:left w:val="single" w:color="auto" w:sz="12" w:space="0"/>
              <w:bottom w:val="single" w:color="auto" w:sz="6" w:space="0"/>
              <w:right w:val="single" w:color="auto" w:sz="6" w:space="0"/>
            </w:tcBorders>
            <w:vAlign w:val="center"/>
          </w:tcPr>
          <w:p>
            <w:pPr>
              <w:autoSpaceDE w:val="0"/>
              <w:autoSpaceDN w:val="0"/>
              <w:adjustRightInd w:val="0"/>
              <w:ind w:left="113" w:right="113"/>
              <w:jc w:val="center"/>
              <w:rPr>
                <w:rFonts w:ascii="宋体" w:cs="宋体"/>
                <w:sz w:val="28"/>
                <w:szCs w:val="28"/>
                <w:lang w:val="zh-CN"/>
              </w:rPr>
            </w:pPr>
            <w:r>
              <w:rPr>
                <w:rFonts w:hint="eastAsia" w:ascii="宋体" w:cs="宋体"/>
                <w:sz w:val="28"/>
                <w:szCs w:val="28"/>
                <w:lang w:val="zh-CN"/>
              </w:rPr>
              <w:t>审核人</w:t>
            </w:r>
          </w:p>
        </w:tc>
        <w:tc>
          <w:tcPr>
            <w:tcW w:w="613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left="113" w:right="113"/>
              <w:jc w:val="center"/>
              <w:rPr>
                <w:rFonts w:ascii="宋体" w:cs="宋体"/>
                <w:sz w:val="28"/>
                <w:szCs w:val="28"/>
                <w:lang w:val="zh-CN"/>
              </w:rPr>
            </w:pPr>
          </w:p>
        </w:tc>
        <w:tc>
          <w:tcPr>
            <w:tcW w:w="74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left="113" w:right="113"/>
              <w:jc w:val="center"/>
              <w:rPr>
                <w:rFonts w:ascii="宋体" w:cs="宋体"/>
                <w:sz w:val="28"/>
                <w:szCs w:val="28"/>
                <w:lang w:val="zh-CN"/>
              </w:rPr>
            </w:pPr>
          </w:p>
        </w:tc>
        <w:tc>
          <w:tcPr>
            <w:tcW w:w="5544" w:type="dxa"/>
            <w:tcBorders>
              <w:top w:val="single" w:color="auto" w:sz="6" w:space="0"/>
              <w:left w:val="single" w:color="auto" w:sz="6" w:space="0"/>
              <w:bottom w:val="single" w:color="auto" w:sz="6" w:space="0"/>
              <w:right w:val="single" w:color="auto" w:sz="12" w:space="0"/>
            </w:tcBorders>
            <w:vAlign w:val="center"/>
          </w:tcPr>
          <w:p>
            <w:pPr>
              <w:autoSpaceDE w:val="0"/>
              <w:autoSpaceDN w:val="0"/>
              <w:adjustRightInd w:val="0"/>
              <w:ind w:left="113" w:right="113"/>
              <w:jc w:val="center"/>
              <w:rPr>
                <w:rFonts w:ascii="宋体" w:cs="宋体"/>
                <w:sz w:val="28"/>
                <w:szCs w:val="28"/>
                <w:lang w:val="zh-CN"/>
              </w:rPr>
            </w:pPr>
          </w:p>
        </w:tc>
      </w:tr>
      <w:tr>
        <w:tblPrEx>
          <w:tblCellMar>
            <w:top w:w="0" w:type="dxa"/>
            <w:left w:w="108" w:type="dxa"/>
            <w:bottom w:w="0" w:type="dxa"/>
            <w:right w:w="108" w:type="dxa"/>
          </w:tblCellMar>
        </w:tblPrEx>
        <w:trPr>
          <w:trHeight w:val="1247" w:hRule="atLeast"/>
        </w:trPr>
        <w:tc>
          <w:tcPr>
            <w:tcW w:w="2156" w:type="dxa"/>
            <w:tcBorders>
              <w:top w:val="single" w:color="auto" w:sz="6" w:space="0"/>
              <w:left w:val="single" w:color="auto" w:sz="12" w:space="0"/>
              <w:bottom w:val="single" w:color="auto" w:sz="4" w:space="0"/>
              <w:right w:val="single" w:color="auto" w:sz="6" w:space="0"/>
            </w:tcBorders>
            <w:vAlign w:val="center"/>
          </w:tcPr>
          <w:p>
            <w:pPr>
              <w:autoSpaceDE w:val="0"/>
              <w:autoSpaceDN w:val="0"/>
              <w:adjustRightInd w:val="0"/>
              <w:ind w:left="113" w:right="113"/>
              <w:jc w:val="center"/>
              <w:rPr>
                <w:rFonts w:ascii="宋体" w:cs="宋体"/>
                <w:sz w:val="28"/>
                <w:szCs w:val="28"/>
                <w:lang w:val="zh-CN"/>
              </w:rPr>
            </w:pPr>
            <w:r>
              <w:rPr>
                <w:rFonts w:hint="eastAsia" w:ascii="宋体" w:cs="宋体"/>
                <w:sz w:val="28"/>
                <w:szCs w:val="28"/>
                <w:lang w:val="zh-CN"/>
              </w:rPr>
              <w:t>项目负责人</w:t>
            </w:r>
          </w:p>
        </w:tc>
        <w:tc>
          <w:tcPr>
            <w:tcW w:w="6132" w:type="dxa"/>
            <w:tcBorders>
              <w:top w:val="single" w:color="auto" w:sz="6" w:space="0"/>
              <w:left w:val="single" w:color="auto" w:sz="6" w:space="0"/>
              <w:bottom w:val="single" w:color="auto" w:sz="4" w:space="0"/>
              <w:right w:val="single" w:color="auto" w:sz="6" w:space="0"/>
            </w:tcBorders>
            <w:vAlign w:val="center"/>
          </w:tcPr>
          <w:p>
            <w:pPr>
              <w:autoSpaceDE w:val="0"/>
              <w:autoSpaceDN w:val="0"/>
              <w:adjustRightInd w:val="0"/>
              <w:ind w:left="113" w:right="113"/>
              <w:jc w:val="center"/>
              <w:rPr>
                <w:rFonts w:ascii="宋体" w:cs="宋体"/>
                <w:sz w:val="28"/>
                <w:szCs w:val="28"/>
                <w:lang w:val="zh-CN"/>
              </w:rPr>
            </w:pPr>
          </w:p>
        </w:tc>
        <w:tc>
          <w:tcPr>
            <w:tcW w:w="7416" w:type="dxa"/>
            <w:tcBorders>
              <w:top w:val="single" w:color="auto" w:sz="6" w:space="0"/>
              <w:left w:val="single" w:color="auto" w:sz="6" w:space="0"/>
              <w:bottom w:val="single" w:color="auto" w:sz="4" w:space="0"/>
              <w:right w:val="single" w:color="auto" w:sz="6" w:space="0"/>
            </w:tcBorders>
            <w:vAlign w:val="center"/>
          </w:tcPr>
          <w:p>
            <w:pPr>
              <w:autoSpaceDE w:val="0"/>
              <w:autoSpaceDN w:val="0"/>
              <w:adjustRightInd w:val="0"/>
              <w:ind w:left="113" w:right="113"/>
              <w:jc w:val="center"/>
              <w:rPr>
                <w:rFonts w:ascii="宋体" w:cs="宋体"/>
                <w:sz w:val="28"/>
                <w:szCs w:val="28"/>
                <w:lang w:val="zh-CN"/>
              </w:rPr>
            </w:pPr>
          </w:p>
        </w:tc>
        <w:tc>
          <w:tcPr>
            <w:tcW w:w="5544" w:type="dxa"/>
            <w:tcBorders>
              <w:top w:val="single" w:color="auto" w:sz="6" w:space="0"/>
              <w:left w:val="single" w:color="auto" w:sz="6" w:space="0"/>
              <w:bottom w:val="single" w:color="auto" w:sz="4" w:space="0"/>
              <w:right w:val="single" w:color="auto" w:sz="12" w:space="0"/>
            </w:tcBorders>
            <w:vAlign w:val="center"/>
          </w:tcPr>
          <w:p>
            <w:pPr>
              <w:autoSpaceDE w:val="0"/>
              <w:autoSpaceDN w:val="0"/>
              <w:adjustRightInd w:val="0"/>
              <w:ind w:left="113" w:right="113"/>
              <w:jc w:val="center"/>
              <w:rPr>
                <w:rFonts w:ascii="宋体" w:cs="宋体"/>
                <w:sz w:val="28"/>
                <w:szCs w:val="28"/>
                <w:lang w:val="zh-CN"/>
              </w:rPr>
            </w:pPr>
          </w:p>
        </w:tc>
      </w:tr>
      <w:tr>
        <w:tblPrEx>
          <w:tblCellMar>
            <w:top w:w="0" w:type="dxa"/>
            <w:left w:w="108" w:type="dxa"/>
            <w:bottom w:w="0" w:type="dxa"/>
            <w:right w:w="108" w:type="dxa"/>
          </w:tblCellMar>
        </w:tblPrEx>
        <w:trPr>
          <w:trHeight w:val="1247" w:hRule="atLeast"/>
        </w:trPr>
        <w:tc>
          <w:tcPr>
            <w:tcW w:w="2156" w:type="dxa"/>
            <w:tcBorders>
              <w:top w:val="single" w:color="auto" w:sz="6" w:space="0"/>
              <w:left w:val="single" w:color="auto" w:sz="12" w:space="0"/>
              <w:bottom w:val="single" w:color="auto" w:sz="4" w:space="0"/>
              <w:right w:val="single" w:color="auto" w:sz="6" w:space="0"/>
            </w:tcBorders>
            <w:vAlign w:val="center"/>
          </w:tcPr>
          <w:p>
            <w:pPr>
              <w:autoSpaceDE w:val="0"/>
              <w:autoSpaceDN w:val="0"/>
              <w:adjustRightInd w:val="0"/>
              <w:ind w:left="113" w:right="113"/>
              <w:jc w:val="center"/>
              <w:rPr>
                <w:rFonts w:ascii="宋体" w:cs="宋体"/>
                <w:sz w:val="28"/>
                <w:szCs w:val="28"/>
                <w:lang w:val="zh-CN"/>
              </w:rPr>
            </w:pPr>
            <w:r>
              <w:rPr>
                <w:rFonts w:hint="eastAsia" w:ascii="宋体" w:cs="宋体"/>
                <w:sz w:val="28"/>
                <w:szCs w:val="28"/>
                <w:lang w:val="zh-CN"/>
              </w:rPr>
              <w:t>编制人</w:t>
            </w:r>
          </w:p>
        </w:tc>
        <w:tc>
          <w:tcPr>
            <w:tcW w:w="6132" w:type="dxa"/>
            <w:tcBorders>
              <w:top w:val="single" w:color="auto" w:sz="6" w:space="0"/>
              <w:left w:val="single" w:color="auto" w:sz="6" w:space="0"/>
              <w:bottom w:val="single" w:color="auto" w:sz="4" w:space="0"/>
              <w:right w:val="single" w:color="auto" w:sz="6" w:space="0"/>
            </w:tcBorders>
            <w:vAlign w:val="center"/>
          </w:tcPr>
          <w:p>
            <w:pPr>
              <w:autoSpaceDE w:val="0"/>
              <w:autoSpaceDN w:val="0"/>
              <w:adjustRightInd w:val="0"/>
              <w:ind w:left="113" w:right="113"/>
              <w:jc w:val="center"/>
              <w:rPr>
                <w:rFonts w:ascii="宋体" w:cs="宋体"/>
                <w:sz w:val="28"/>
                <w:szCs w:val="28"/>
                <w:lang w:val="zh-CN"/>
              </w:rPr>
            </w:pPr>
          </w:p>
        </w:tc>
        <w:tc>
          <w:tcPr>
            <w:tcW w:w="7416" w:type="dxa"/>
            <w:tcBorders>
              <w:top w:val="single" w:color="auto" w:sz="6" w:space="0"/>
              <w:left w:val="single" w:color="auto" w:sz="6" w:space="0"/>
              <w:bottom w:val="single" w:color="auto" w:sz="4" w:space="0"/>
              <w:right w:val="single" w:color="auto" w:sz="6" w:space="0"/>
            </w:tcBorders>
            <w:vAlign w:val="center"/>
          </w:tcPr>
          <w:p>
            <w:pPr>
              <w:autoSpaceDE w:val="0"/>
              <w:autoSpaceDN w:val="0"/>
              <w:adjustRightInd w:val="0"/>
              <w:ind w:left="113" w:right="113"/>
              <w:jc w:val="center"/>
              <w:rPr>
                <w:rFonts w:ascii="宋体" w:cs="宋体"/>
                <w:sz w:val="28"/>
                <w:szCs w:val="28"/>
                <w:lang w:val="zh-CN"/>
              </w:rPr>
            </w:pPr>
          </w:p>
        </w:tc>
        <w:tc>
          <w:tcPr>
            <w:tcW w:w="5544" w:type="dxa"/>
            <w:tcBorders>
              <w:top w:val="single" w:color="auto" w:sz="6" w:space="0"/>
              <w:left w:val="single" w:color="auto" w:sz="6" w:space="0"/>
              <w:bottom w:val="single" w:color="auto" w:sz="4" w:space="0"/>
              <w:right w:val="single" w:color="auto" w:sz="12" w:space="0"/>
            </w:tcBorders>
            <w:vAlign w:val="center"/>
          </w:tcPr>
          <w:p>
            <w:pPr>
              <w:autoSpaceDE w:val="0"/>
              <w:autoSpaceDN w:val="0"/>
              <w:adjustRightInd w:val="0"/>
              <w:ind w:left="113" w:right="113"/>
              <w:jc w:val="center"/>
              <w:rPr>
                <w:rFonts w:ascii="宋体" w:cs="宋体"/>
                <w:sz w:val="28"/>
                <w:szCs w:val="28"/>
                <w:lang w:val="zh-CN"/>
              </w:rPr>
            </w:pPr>
          </w:p>
        </w:tc>
      </w:tr>
      <w:tr>
        <w:tblPrEx>
          <w:tblCellMar>
            <w:top w:w="0" w:type="dxa"/>
            <w:left w:w="108" w:type="dxa"/>
            <w:bottom w:w="0" w:type="dxa"/>
            <w:right w:w="108" w:type="dxa"/>
          </w:tblCellMar>
        </w:tblPrEx>
        <w:trPr>
          <w:trHeight w:val="1701" w:hRule="atLeast"/>
        </w:trPr>
        <w:tc>
          <w:tcPr>
            <w:tcW w:w="2156" w:type="dxa"/>
            <w:tcBorders>
              <w:top w:val="single" w:color="auto" w:sz="4" w:space="0"/>
              <w:left w:val="single" w:color="auto" w:sz="12" w:space="0"/>
              <w:bottom w:val="single" w:color="auto" w:sz="6" w:space="0"/>
              <w:right w:val="single" w:color="auto" w:sz="6" w:space="0"/>
            </w:tcBorders>
            <w:vAlign w:val="center"/>
          </w:tcPr>
          <w:p>
            <w:pPr>
              <w:autoSpaceDE w:val="0"/>
              <w:autoSpaceDN w:val="0"/>
              <w:adjustRightInd w:val="0"/>
              <w:ind w:left="113" w:right="113"/>
              <w:jc w:val="center"/>
              <w:rPr>
                <w:rFonts w:ascii="宋体" w:cs="宋体"/>
                <w:sz w:val="28"/>
                <w:szCs w:val="28"/>
                <w:lang w:val="zh-CN"/>
              </w:rPr>
            </w:pPr>
            <w:r>
              <w:rPr>
                <w:rFonts w:hint="eastAsia" w:ascii="宋体" w:cs="宋体"/>
                <w:sz w:val="28"/>
                <w:szCs w:val="28"/>
                <w:lang w:val="zh-CN"/>
              </w:rPr>
              <w:t>出图专用章</w:t>
            </w:r>
          </w:p>
        </w:tc>
        <w:tc>
          <w:tcPr>
            <w:tcW w:w="19092" w:type="dxa"/>
            <w:gridSpan w:val="3"/>
            <w:tcBorders>
              <w:top w:val="single" w:color="auto" w:sz="4" w:space="0"/>
              <w:left w:val="single" w:color="auto" w:sz="6" w:space="0"/>
              <w:bottom w:val="single" w:color="auto" w:sz="6" w:space="0"/>
              <w:right w:val="single" w:color="auto" w:sz="12" w:space="0"/>
            </w:tcBorders>
            <w:vAlign w:val="center"/>
          </w:tcPr>
          <w:p>
            <w:pPr>
              <w:jc w:val="center"/>
              <w:rPr>
                <w:rFonts w:ascii="宋体" w:cs="宋体"/>
                <w:sz w:val="28"/>
                <w:szCs w:val="28"/>
                <w:lang w:val="zh-CN"/>
              </w:rPr>
            </w:pPr>
          </w:p>
        </w:tc>
      </w:tr>
      <w:tr>
        <w:tblPrEx>
          <w:tblCellMar>
            <w:top w:w="0" w:type="dxa"/>
            <w:left w:w="108" w:type="dxa"/>
            <w:bottom w:w="0" w:type="dxa"/>
            <w:right w:w="108" w:type="dxa"/>
          </w:tblCellMar>
        </w:tblPrEx>
        <w:trPr>
          <w:trHeight w:val="1701" w:hRule="atLeast"/>
        </w:trPr>
        <w:tc>
          <w:tcPr>
            <w:tcW w:w="2156" w:type="dxa"/>
            <w:tcBorders>
              <w:top w:val="single" w:color="auto" w:sz="4" w:space="0"/>
              <w:left w:val="single" w:color="auto" w:sz="12" w:space="0"/>
              <w:bottom w:val="single" w:color="auto" w:sz="6" w:space="0"/>
              <w:right w:val="single" w:color="auto" w:sz="6" w:space="0"/>
            </w:tcBorders>
            <w:vAlign w:val="center"/>
          </w:tcPr>
          <w:p>
            <w:pPr>
              <w:autoSpaceDE w:val="0"/>
              <w:autoSpaceDN w:val="0"/>
              <w:adjustRightInd w:val="0"/>
              <w:ind w:left="113" w:right="113"/>
              <w:jc w:val="center"/>
              <w:rPr>
                <w:rFonts w:ascii="宋体" w:cs="宋体"/>
                <w:sz w:val="28"/>
                <w:szCs w:val="28"/>
                <w:lang w:val="zh-CN"/>
              </w:rPr>
            </w:pPr>
            <w:r>
              <w:rPr>
                <w:rFonts w:hint="eastAsia" w:ascii="宋体" w:cs="宋体"/>
                <w:sz w:val="28"/>
                <w:szCs w:val="28"/>
                <w:lang w:val="zh-CN"/>
              </w:rPr>
              <w:t>注册执业章</w:t>
            </w:r>
          </w:p>
        </w:tc>
        <w:tc>
          <w:tcPr>
            <w:tcW w:w="19092" w:type="dxa"/>
            <w:gridSpan w:val="3"/>
            <w:tcBorders>
              <w:top w:val="single" w:color="auto" w:sz="4" w:space="0"/>
              <w:left w:val="single" w:color="auto" w:sz="6" w:space="0"/>
              <w:bottom w:val="single" w:color="auto" w:sz="6" w:space="0"/>
              <w:right w:val="single" w:color="auto" w:sz="12" w:space="0"/>
            </w:tcBorders>
            <w:vAlign w:val="center"/>
          </w:tcPr>
          <w:p>
            <w:pPr>
              <w:jc w:val="center"/>
              <w:rPr>
                <w:rFonts w:ascii="宋体" w:cs="宋体"/>
                <w:sz w:val="28"/>
                <w:szCs w:val="28"/>
                <w:lang w:val="zh-CN"/>
              </w:rPr>
            </w:pPr>
          </w:p>
        </w:tc>
      </w:tr>
      <w:tr>
        <w:tblPrEx>
          <w:tblCellMar>
            <w:top w:w="0" w:type="dxa"/>
            <w:left w:w="108" w:type="dxa"/>
            <w:bottom w:w="0" w:type="dxa"/>
            <w:right w:w="108" w:type="dxa"/>
          </w:tblCellMar>
        </w:tblPrEx>
        <w:trPr>
          <w:trHeight w:val="2211" w:hRule="atLeast"/>
        </w:trPr>
        <w:tc>
          <w:tcPr>
            <w:tcW w:w="2156" w:type="dxa"/>
            <w:tcBorders>
              <w:top w:val="single" w:color="auto" w:sz="4" w:space="0"/>
              <w:left w:val="single" w:color="auto" w:sz="12" w:space="0"/>
              <w:bottom w:val="single" w:color="auto" w:sz="12" w:space="0"/>
              <w:right w:val="single" w:color="auto" w:sz="6" w:space="0"/>
            </w:tcBorders>
            <w:vAlign w:val="center"/>
          </w:tcPr>
          <w:p>
            <w:pPr>
              <w:autoSpaceDE w:val="0"/>
              <w:autoSpaceDN w:val="0"/>
              <w:adjustRightInd w:val="0"/>
              <w:ind w:left="113" w:right="113"/>
              <w:jc w:val="center"/>
              <w:rPr>
                <w:rFonts w:ascii="宋体" w:cs="宋体"/>
                <w:sz w:val="28"/>
                <w:szCs w:val="28"/>
                <w:lang w:val="zh-CN"/>
              </w:rPr>
            </w:pPr>
            <w:r>
              <w:rPr>
                <w:rFonts w:hint="eastAsia" w:ascii="宋体" w:cs="宋体"/>
                <w:sz w:val="28"/>
                <w:szCs w:val="28"/>
                <w:lang w:val="zh-CN"/>
              </w:rPr>
              <w:t>联系方式</w:t>
            </w:r>
          </w:p>
        </w:tc>
        <w:tc>
          <w:tcPr>
            <w:tcW w:w="19092" w:type="dxa"/>
            <w:gridSpan w:val="3"/>
            <w:tcBorders>
              <w:top w:val="single" w:color="auto" w:sz="4" w:space="0"/>
              <w:left w:val="single" w:color="auto" w:sz="6" w:space="0"/>
              <w:bottom w:val="single" w:color="auto" w:sz="12" w:space="0"/>
              <w:right w:val="single" w:color="auto" w:sz="12" w:space="0"/>
            </w:tcBorders>
            <w:vAlign w:val="center"/>
          </w:tcPr>
          <w:p>
            <w:pPr>
              <w:autoSpaceDE w:val="0"/>
              <w:autoSpaceDN w:val="0"/>
              <w:adjustRightInd w:val="0"/>
              <w:spacing w:before="240" w:beforeLines="100" w:line="240" w:lineRule="exact"/>
              <w:ind w:left="113" w:right="113"/>
              <w:jc w:val="left"/>
              <w:rPr>
                <w:rFonts w:ascii="宋体" w:cs="宋体"/>
                <w:sz w:val="28"/>
                <w:szCs w:val="28"/>
                <w:lang w:val="zh-CN"/>
              </w:rPr>
            </w:pPr>
            <w:r>
              <w:rPr>
                <w:rFonts w:hint="eastAsia" w:ascii="宋体" w:cs="宋体"/>
                <w:sz w:val="28"/>
                <w:szCs w:val="28"/>
                <w:lang w:val="zh-CN"/>
              </w:rPr>
              <w:t>地址：长春市春城大街4398号</w:t>
            </w:r>
          </w:p>
          <w:p>
            <w:pPr>
              <w:autoSpaceDE w:val="0"/>
              <w:autoSpaceDN w:val="0"/>
              <w:adjustRightInd w:val="0"/>
              <w:spacing w:before="120" w:beforeLines="50" w:line="240" w:lineRule="exact"/>
              <w:ind w:left="113" w:right="113"/>
              <w:jc w:val="left"/>
              <w:rPr>
                <w:rFonts w:ascii="宋体" w:cs="宋体"/>
                <w:sz w:val="28"/>
                <w:szCs w:val="28"/>
                <w:lang w:val="zh-CN"/>
              </w:rPr>
            </w:pPr>
            <w:r>
              <w:rPr>
                <w:rFonts w:hint="eastAsia" w:ascii="宋体" w:cs="宋体"/>
                <w:sz w:val="28"/>
                <w:szCs w:val="28"/>
                <w:lang w:val="zh-CN"/>
              </w:rPr>
              <w:t>电话：</w:t>
            </w:r>
            <w:r>
              <w:rPr>
                <w:rFonts w:ascii="宋体" w:cs="宋体"/>
                <w:sz w:val="28"/>
                <w:szCs w:val="28"/>
                <w:lang w:val="zh-CN"/>
              </w:rPr>
              <w:t>0431-87604505  13624467871</w:t>
            </w:r>
          </w:p>
          <w:p>
            <w:pPr>
              <w:autoSpaceDE w:val="0"/>
              <w:autoSpaceDN w:val="0"/>
              <w:adjustRightInd w:val="0"/>
              <w:spacing w:before="120" w:beforeLines="50" w:line="240" w:lineRule="exact"/>
              <w:ind w:left="113" w:right="113"/>
              <w:jc w:val="left"/>
              <w:rPr>
                <w:rFonts w:ascii="宋体" w:cs="宋体"/>
                <w:sz w:val="28"/>
                <w:szCs w:val="28"/>
                <w:lang w:val="zh-CN"/>
              </w:rPr>
            </w:pPr>
            <w:r>
              <w:rPr>
                <w:rFonts w:hint="eastAsia" w:ascii="宋体" w:cs="宋体"/>
                <w:sz w:val="28"/>
                <w:szCs w:val="28"/>
                <w:lang w:val="zh-CN"/>
              </w:rPr>
              <w:t>传真：</w:t>
            </w:r>
            <w:r>
              <w:rPr>
                <w:rFonts w:ascii="宋体" w:cs="宋体"/>
                <w:sz w:val="28"/>
                <w:szCs w:val="28"/>
                <w:lang w:val="zh-CN"/>
              </w:rPr>
              <w:t>0431-87604544</w:t>
            </w:r>
          </w:p>
          <w:p>
            <w:pPr>
              <w:autoSpaceDE w:val="0"/>
              <w:autoSpaceDN w:val="0"/>
              <w:adjustRightInd w:val="0"/>
              <w:spacing w:before="120" w:beforeLines="50" w:line="240" w:lineRule="exact"/>
              <w:ind w:left="113" w:right="113"/>
              <w:jc w:val="left"/>
              <w:rPr>
                <w:rFonts w:ascii="宋体" w:cs="宋体"/>
                <w:sz w:val="28"/>
                <w:szCs w:val="28"/>
                <w:lang w:val="zh-CN"/>
              </w:rPr>
            </w:pPr>
            <w:r>
              <w:rPr>
                <w:rFonts w:hint="eastAsia" w:ascii="宋体" w:cs="宋体"/>
                <w:sz w:val="28"/>
                <w:szCs w:val="28"/>
                <w:lang w:val="zh-CN"/>
              </w:rPr>
              <w:t>E-Mail：</w:t>
            </w:r>
            <w:r>
              <w:rPr>
                <w:rFonts w:ascii="宋体" w:cs="宋体"/>
                <w:sz w:val="28"/>
                <w:szCs w:val="28"/>
                <w:lang w:val="zh-CN"/>
              </w:rPr>
              <w:t>509888607@qq.com</w:t>
            </w:r>
          </w:p>
          <w:p>
            <w:pPr>
              <w:autoSpaceDE w:val="0"/>
              <w:autoSpaceDN w:val="0"/>
              <w:adjustRightInd w:val="0"/>
              <w:ind w:left="113" w:right="113"/>
              <w:jc w:val="center"/>
              <w:rPr>
                <w:rFonts w:ascii="宋体" w:cs="宋体"/>
                <w:sz w:val="28"/>
                <w:szCs w:val="28"/>
                <w:lang w:val="zh-CN"/>
              </w:rPr>
            </w:pPr>
            <w:r>
              <w:rPr>
                <w:rFonts w:hint="eastAsia" w:ascii="宋体" w:cs="宋体"/>
                <w:szCs w:val="28"/>
                <w:lang w:val="zh-CN"/>
              </w:rPr>
              <w:t>(若以上内容为空白，本勘察报告则视为无效)</w:t>
            </w:r>
          </w:p>
        </w:tc>
      </w:tr>
    </w:tbl>
    <w:p>
      <w:pPr>
        <w:autoSpaceDE w:val="0"/>
        <w:autoSpaceDN w:val="0"/>
        <w:adjustRightInd w:val="0"/>
        <w:rPr>
          <w:b/>
          <w:bCs/>
          <w:color w:val="000000"/>
          <w:szCs w:val="21"/>
        </w:rPr>
        <w:sectPr>
          <w:headerReference r:id="rId5" w:type="first"/>
          <w:headerReference r:id="rId3" w:type="default"/>
          <w:headerReference r:id="rId4" w:type="even"/>
          <w:footerReference r:id="rId6" w:type="even"/>
          <w:pgSz w:w="23814" w:h="16839" w:orient="landscape"/>
          <w:pgMar w:top="1701" w:right="1134" w:bottom="1134" w:left="907" w:header="737" w:footer="737" w:gutter="0"/>
          <w:pgNumType w:start="0"/>
          <w:cols w:space="720" w:num="1"/>
          <w:titlePg/>
          <w:docGrid w:linePitch="286" w:charSpace="0"/>
        </w:sectPr>
      </w:pPr>
    </w:p>
    <w:p>
      <w:pPr>
        <w:autoSpaceDE w:val="0"/>
        <w:autoSpaceDN w:val="0"/>
        <w:adjustRightInd w:val="0"/>
        <w:ind w:left="105" w:hanging="105" w:hangingChars="50"/>
        <w:jc w:val="center"/>
        <w:rPr>
          <w:b/>
          <w:bCs/>
          <w:color w:val="000000"/>
          <w:szCs w:val="21"/>
        </w:rPr>
        <w:sectPr>
          <w:type w:val="continuous"/>
          <w:pgSz w:w="23814" w:h="16839" w:orient="landscape"/>
          <w:pgMar w:top="1588" w:right="1361" w:bottom="1588" w:left="1985" w:header="1077" w:footer="1077" w:gutter="0"/>
          <w:pgNumType w:start="2"/>
          <w:cols w:space="1190" w:num="2" w:sep="1"/>
          <w:titlePg/>
          <w:docGrid w:type="lines" w:linePitch="320" w:charSpace="0"/>
        </w:sectPr>
      </w:pPr>
    </w:p>
    <w:sdt>
      <w:sdtPr>
        <w:rPr>
          <w:rFonts w:asciiTheme="minorHAnsi" w:hAnsiTheme="minorHAnsi" w:eastAsiaTheme="minorEastAsia" w:cstheme="minorBidi"/>
          <w:b w:val="0"/>
          <w:bCs w:val="0"/>
          <w:color w:val="auto"/>
          <w:sz w:val="22"/>
          <w:szCs w:val="22"/>
          <w:lang w:val="zh-CN"/>
        </w:rPr>
        <w:id w:val="3409132"/>
        <w:docPartObj>
          <w:docPartGallery w:val="Table of Contents"/>
          <w:docPartUnique/>
        </w:docPartObj>
      </w:sdtPr>
      <w:sdtEndPr>
        <w:rPr>
          <w:rFonts w:asciiTheme="minorEastAsia" w:hAnsiTheme="minorEastAsia" w:eastAsiaTheme="minorEastAsia" w:cstheme="minorBidi"/>
          <w:b w:val="0"/>
          <w:bCs w:val="0"/>
          <w:color w:val="auto"/>
          <w:sz w:val="22"/>
          <w:szCs w:val="22"/>
          <w:lang w:val="zh-CN"/>
        </w:rPr>
      </w:sdtEndPr>
      <w:sdtContent>
        <w:p>
          <w:pPr>
            <w:pStyle w:val="91"/>
            <w:keepNext w:val="0"/>
            <w:keepLines w:val="0"/>
            <w:jc w:val="center"/>
            <w:rPr>
              <w:sz w:val="36"/>
              <w:lang w:val="zh-CN"/>
            </w:rPr>
          </w:pPr>
          <w:r>
            <w:rPr>
              <w:sz w:val="36"/>
              <w:lang w:val="zh-CN"/>
            </w:rPr>
            <w:t>目</w:t>
          </w:r>
          <w:r>
            <w:rPr>
              <w:rFonts w:hint="eastAsia"/>
              <w:sz w:val="36"/>
              <w:lang w:val="zh-CN"/>
            </w:rPr>
            <w:t xml:space="preserve">  </w:t>
          </w:r>
          <w:r>
            <w:rPr>
              <w:sz w:val="36"/>
              <w:lang w:val="zh-CN"/>
            </w:rPr>
            <w:t>录</w:t>
          </w:r>
        </w:p>
        <w:p>
          <w:pPr>
            <w:spacing w:line="360" w:lineRule="auto"/>
            <w:rPr>
              <w:rFonts w:asciiTheme="minorEastAsia" w:hAnsiTheme="minorEastAsia" w:eastAsiaTheme="minorEastAsia"/>
              <w:b/>
              <w:sz w:val="24"/>
              <w:lang w:val="zh-CN"/>
            </w:rPr>
          </w:pPr>
          <w:r>
            <w:rPr>
              <w:rFonts w:hint="eastAsia" w:asciiTheme="minorEastAsia" w:hAnsiTheme="minorEastAsia" w:eastAsiaTheme="minorEastAsia"/>
              <w:b/>
              <w:sz w:val="24"/>
              <w:lang w:val="zh-CN"/>
            </w:rPr>
            <w:t>文字部分</w:t>
          </w:r>
        </w:p>
        <w:p>
          <w:pPr>
            <w:pStyle w:val="10"/>
            <w:tabs>
              <w:tab w:val="right" w:leader="dot" w:pos="10011"/>
            </w:tabs>
            <w:spacing w:line="360" w:lineRule="auto"/>
            <w:rPr>
              <w:rFonts w:asciiTheme="minorEastAsia" w:hAnsiTheme="minorEastAsia"/>
              <w:b/>
              <w:kern w:val="2"/>
              <w:sz w:val="24"/>
              <w:szCs w:val="24"/>
            </w:rPr>
          </w:pPr>
          <w:r>
            <w:rPr>
              <w:rFonts w:asciiTheme="minorEastAsia" w:hAnsiTheme="minorEastAsia"/>
              <w:b/>
              <w:sz w:val="24"/>
              <w:szCs w:val="24"/>
            </w:rPr>
            <w:fldChar w:fldCharType="begin"/>
          </w:r>
          <w:r>
            <w:rPr>
              <w:rFonts w:asciiTheme="minorEastAsia" w:hAnsiTheme="minorEastAsia"/>
              <w:b/>
              <w:sz w:val="24"/>
              <w:szCs w:val="24"/>
            </w:rPr>
            <w:instrText xml:space="preserve"> TOC \o "1-3" \h \z \u </w:instrText>
          </w:r>
          <w:r>
            <w:rPr>
              <w:rFonts w:asciiTheme="minorEastAsia" w:hAnsiTheme="minorEastAsia"/>
              <w:b/>
              <w:sz w:val="24"/>
              <w:szCs w:val="24"/>
            </w:rPr>
            <w:fldChar w:fldCharType="separate"/>
          </w:r>
          <w:r>
            <w:fldChar w:fldCharType="begin"/>
          </w:r>
          <w:r>
            <w:instrText xml:space="preserve"> HYPERLINK \l "_Toc10468499" </w:instrText>
          </w:r>
          <w:r>
            <w:fldChar w:fldCharType="separate"/>
          </w:r>
          <w:r>
            <w:rPr>
              <w:rStyle w:val="17"/>
              <w:rFonts w:asciiTheme="minorEastAsia" w:hAnsiTheme="minorEastAsia"/>
              <w:b/>
              <w:sz w:val="24"/>
              <w:szCs w:val="24"/>
            </w:rPr>
            <w:t>1.</w:t>
          </w:r>
          <w:r>
            <w:rPr>
              <w:rStyle w:val="17"/>
              <w:rFonts w:hint="eastAsia" w:asciiTheme="minorEastAsia" w:hAnsiTheme="minorEastAsia"/>
              <w:b/>
              <w:sz w:val="24"/>
              <w:szCs w:val="24"/>
            </w:rPr>
            <w:t xml:space="preserve"> 勘察工作</w:t>
          </w:r>
          <w:r>
            <w:rPr>
              <w:rFonts w:asciiTheme="minorEastAsia" w:hAnsiTheme="minorEastAsia"/>
              <w:b/>
              <w:sz w:val="24"/>
              <w:szCs w:val="24"/>
            </w:rPr>
            <w:tab/>
          </w:r>
          <w:r>
            <w:rPr>
              <w:rFonts w:asciiTheme="minorEastAsia" w:hAnsiTheme="minorEastAsia"/>
              <w:b/>
              <w:sz w:val="24"/>
              <w:szCs w:val="24"/>
            </w:rPr>
            <w:fldChar w:fldCharType="begin"/>
          </w:r>
          <w:r>
            <w:rPr>
              <w:rFonts w:asciiTheme="minorEastAsia" w:hAnsiTheme="minorEastAsia"/>
              <w:b/>
              <w:sz w:val="24"/>
              <w:szCs w:val="24"/>
            </w:rPr>
            <w:instrText xml:space="preserve"> PAGEREF _Toc10468499 \h </w:instrText>
          </w:r>
          <w:r>
            <w:rPr>
              <w:rFonts w:asciiTheme="minorEastAsia" w:hAnsiTheme="minorEastAsia"/>
              <w:b/>
              <w:sz w:val="24"/>
              <w:szCs w:val="24"/>
            </w:rPr>
            <w:fldChar w:fldCharType="separate"/>
          </w:r>
          <w:r>
            <w:rPr>
              <w:rFonts w:asciiTheme="minorEastAsia" w:hAnsiTheme="minorEastAsia"/>
              <w:b/>
              <w:sz w:val="24"/>
              <w:szCs w:val="24"/>
            </w:rPr>
            <w:t>1</w:t>
          </w:r>
          <w:r>
            <w:rPr>
              <w:rFonts w:asciiTheme="minorEastAsia" w:hAnsiTheme="minorEastAsia"/>
              <w:b/>
              <w:sz w:val="24"/>
              <w:szCs w:val="24"/>
            </w:rPr>
            <w:fldChar w:fldCharType="end"/>
          </w:r>
          <w:r>
            <w:rPr>
              <w:rFonts w:asciiTheme="minorEastAsia" w:hAnsiTheme="minorEastAsia"/>
              <w:b/>
              <w:sz w:val="24"/>
              <w:szCs w:val="24"/>
            </w:rPr>
            <w:fldChar w:fldCharType="end"/>
          </w:r>
        </w:p>
        <w:p>
          <w:pPr>
            <w:pStyle w:val="12"/>
            <w:tabs>
              <w:tab w:val="right" w:leader="dot" w:pos="10011"/>
            </w:tabs>
            <w:spacing w:line="360" w:lineRule="auto"/>
            <w:rPr>
              <w:rFonts w:asciiTheme="minorEastAsia" w:hAnsiTheme="minorEastAsia"/>
              <w:b/>
              <w:kern w:val="2"/>
              <w:sz w:val="24"/>
              <w:szCs w:val="24"/>
            </w:rPr>
          </w:pPr>
          <w:r>
            <w:fldChar w:fldCharType="begin"/>
          </w:r>
          <w:r>
            <w:instrText xml:space="preserve"> HYPERLINK \l "_Toc10468500" </w:instrText>
          </w:r>
          <w:r>
            <w:fldChar w:fldCharType="separate"/>
          </w:r>
          <w:r>
            <w:rPr>
              <w:rStyle w:val="17"/>
              <w:rFonts w:asciiTheme="minorEastAsia" w:hAnsiTheme="minorEastAsia"/>
              <w:b/>
              <w:sz w:val="24"/>
              <w:szCs w:val="24"/>
            </w:rPr>
            <w:t>1.1.</w:t>
          </w:r>
          <w:r>
            <w:rPr>
              <w:rStyle w:val="17"/>
              <w:rFonts w:hint="eastAsia" w:asciiTheme="minorEastAsia" w:hAnsiTheme="minorEastAsia" w:cstheme="majorBidi"/>
              <w:b/>
              <w:sz w:val="24"/>
              <w:szCs w:val="24"/>
            </w:rPr>
            <w:t xml:space="preserve"> 工程概况</w:t>
          </w:r>
          <w:r>
            <w:rPr>
              <w:rFonts w:asciiTheme="minorEastAsia" w:hAnsiTheme="minorEastAsia"/>
              <w:b/>
              <w:sz w:val="24"/>
              <w:szCs w:val="24"/>
            </w:rPr>
            <w:tab/>
          </w:r>
          <w:r>
            <w:rPr>
              <w:rFonts w:asciiTheme="minorEastAsia" w:hAnsiTheme="minorEastAsia"/>
              <w:b/>
              <w:sz w:val="24"/>
              <w:szCs w:val="24"/>
            </w:rPr>
            <w:fldChar w:fldCharType="begin"/>
          </w:r>
          <w:r>
            <w:rPr>
              <w:rFonts w:asciiTheme="minorEastAsia" w:hAnsiTheme="minorEastAsia"/>
              <w:b/>
              <w:sz w:val="24"/>
              <w:szCs w:val="24"/>
            </w:rPr>
            <w:instrText xml:space="preserve"> PAGEREF _Toc10468500 \h </w:instrText>
          </w:r>
          <w:r>
            <w:rPr>
              <w:rFonts w:asciiTheme="minorEastAsia" w:hAnsiTheme="minorEastAsia"/>
              <w:b/>
              <w:sz w:val="24"/>
              <w:szCs w:val="24"/>
            </w:rPr>
            <w:fldChar w:fldCharType="separate"/>
          </w:r>
          <w:r>
            <w:rPr>
              <w:rFonts w:asciiTheme="minorEastAsia" w:hAnsiTheme="minorEastAsia"/>
              <w:b/>
              <w:sz w:val="24"/>
              <w:szCs w:val="24"/>
            </w:rPr>
            <w:t>1</w:t>
          </w:r>
          <w:r>
            <w:rPr>
              <w:rFonts w:asciiTheme="minorEastAsia" w:hAnsiTheme="minorEastAsia"/>
              <w:b/>
              <w:sz w:val="24"/>
              <w:szCs w:val="24"/>
            </w:rPr>
            <w:fldChar w:fldCharType="end"/>
          </w:r>
          <w:r>
            <w:rPr>
              <w:rFonts w:asciiTheme="minorEastAsia" w:hAnsiTheme="minorEastAsia"/>
              <w:b/>
              <w:sz w:val="24"/>
              <w:szCs w:val="24"/>
            </w:rPr>
            <w:fldChar w:fldCharType="end"/>
          </w:r>
        </w:p>
        <w:p>
          <w:pPr>
            <w:pStyle w:val="12"/>
            <w:tabs>
              <w:tab w:val="right" w:leader="dot" w:pos="10011"/>
            </w:tabs>
            <w:spacing w:line="360" w:lineRule="auto"/>
            <w:rPr>
              <w:rFonts w:asciiTheme="minorEastAsia" w:hAnsiTheme="minorEastAsia"/>
              <w:b/>
              <w:kern w:val="2"/>
              <w:sz w:val="24"/>
              <w:szCs w:val="24"/>
            </w:rPr>
          </w:pPr>
          <w:r>
            <w:fldChar w:fldCharType="begin"/>
          </w:r>
          <w:r>
            <w:instrText xml:space="preserve"> HYPERLINK \l "_Toc10468501" </w:instrText>
          </w:r>
          <w:r>
            <w:fldChar w:fldCharType="separate"/>
          </w:r>
          <w:r>
            <w:rPr>
              <w:rStyle w:val="17"/>
              <w:rFonts w:asciiTheme="minorEastAsia" w:hAnsiTheme="minorEastAsia"/>
              <w:b/>
              <w:sz w:val="24"/>
              <w:szCs w:val="24"/>
            </w:rPr>
            <w:t>1.2.</w:t>
          </w:r>
          <w:r>
            <w:rPr>
              <w:rStyle w:val="17"/>
              <w:rFonts w:hint="eastAsia" w:asciiTheme="minorEastAsia" w:hAnsiTheme="minorEastAsia" w:cstheme="majorBidi"/>
              <w:b/>
              <w:sz w:val="24"/>
              <w:szCs w:val="24"/>
            </w:rPr>
            <w:t xml:space="preserve"> 岩土工程勘察目的、任务要求和依据的技术标准</w:t>
          </w:r>
          <w:r>
            <w:rPr>
              <w:rFonts w:asciiTheme="minorEastAsia" w:hAnsiTheme="minorEastAsia"/>
              <w:b/>
              <w:sz w:val="24"/>
              <w:szCs w:val="24"/>
            </w:rPr>
            <w:tab/>
          </w:r>
          <w:r>
            <w:rPr>
              <w:rFonts w:asciiTheme="minorEastAsia" w:hAnsiTheme="minorEastAsia"/>
              <w:b/>
              <w:sz w:val="24"/>
              <w:szCs w:val="24"/>
            </w:rPr>
            <w:fldChar w:fldCharType="begin"/>
          </w:r>
          <w:r>
            <w:rPr>
              <w:rFonts w:asciiTheme="minorEastAsia" w:hAnsiTheme="minorEastAsia"/>
              <w:b/>
              <w:sz w:val="24"/>
              <w:szCs w:val="24"/>
            </w:rPr>
            <w:instrText xml:space="preserve"> PAGEREF _Toc10468501 \h </w:instrText>
          </w:r>
          <w:r>
            <w:rPr>
              <w:rFonts w:asciiTheme="minorEastAsia" w:hAnsiTheme="minorEastAsia"/>
              <w:b/>
              <w:sz w:val="24"/>
              <w:szCs w:val="24"/>
            </w:rPr>
            <w:fldChar w:fldCharType="separate"/>
          </w:r>
          <w:r>
            <w:rPr>
              <w:rFonts w:asciiTheme="minorEastAsia" w:hAnsiTheme="minorEastAsia"/>
              <w:b/>
              <w:sz w:val="24"/>
              <w:szCs w:val="24"/>
            </w:rPr>
            <w:t>2</w:t>
          </w:r>
          <w:r>
            <w:rPr>
              <w:rFonts w:asciiTheme="minorEastAsia" w:hAnsiTheme="minorEastAsia"/>
              <w:b/>
              <w:sz w:val="24"/>
              <w:szCs w:val="24"/>
            </w:rPr>
            <w:fldChar w:fldCharType="end"/>
          </w:r>
          <w:r>
            <w:rPr>
              <w:rFonts w:asciiTheme="minorEastAsia" w:hAnsiTheme="minorEastAsia"/>
              <w:b/>
              <w:sz w:val="24"/>
              <w:szCs w:val="24"/>
            </w:rPr>
            <w:fldChar w:fldCharType="end"/>
          </w:r>
        </w:p>
        <w:p>
          <w:pPr>
            <w:pStyle w:val="12"/>
            <w:tabs>
              <w:tab w:val="right" w:leader="dot" w:pos="10011"/>
            </w:tabs>
            <w:spacing w:line="360" w:lineRule="auto"/>
            <w:rPr>
              <w:rFonts w:asciiTheme="minorEastAsia" w:hAnsiTheme="minorEastAsia"/>
              <w:b/>
              <w:kern w:val="2"/>
              <w:sz w:val="24"/>
              <w:szCs w:val="24"/>
            </w:rPr>
          </w:pPr>
          <w:r>
            <w:fldChar w:fldCharType="begin"/>
          </w:r>
          <w:r>
            <w:instrText xml:space="preserve"> HYPERLINK \l "_Toc10468506" </w:instrText>
          </w:r>
          <w:r>
            <w:fldChar w:fldCharType="separate"/>
          </w:r>
          <w:r>
            <w:rPr>
              <w:rStyle w:val="17"/>
              <w:rFonts w:asciiTheme="minorEastAsia" w:hAnsiTheme="minorEastAsia"/>
              <w:b/>
              <w:sz w:val="24"/>
              <w:szCs w:val="24"/>
            </w:rPr>
            <w:t>1.3.</w:t>
          </w:r>
          <w:r>
            <w:rPr>
              <w:rStyle w:val="17"/>
              <w:rFonts w:hint="eastAsia" w:asciiTheme="minorEastAsia" w:hAnsiTheme="minorEastAsia" w:cstheme="majorBidi"/>
              <w:b/>
              <w:sz w:val="24"/>
              <w:szCs w:val="24"/>
            </w:rPr>
            <w:t xml:space="preserve"> 岩土工程勘察等级</w:t>
          </w:r>
          <w:r>
            <w:rPr>
              <w:rFonts w:asciiTheme="minorEastAsia" w:hAnsiTheme="minorEastAsia"/>
              <w:b/>
              <w:sz w:val="24"/>
              <w:szCs w:val="24"/>
            </w:rPr>
            <w:tab/>
          </w:r>
          <w:r>
            <w:rPr>
              <w:rFonts w:asciiTheme="minorEastAsia" w:hAnsiTheme="minorEastAsia"/>
              <w:b/>
              <w:sz w:val="24"/>
              <w:szCs w:val="24"/>
            </w:rPr>
            <w:fldChar w:fldCharType="begin"/>
          </w:r>
          <w:r>
            <w:rPr>
              <w:rFonts w:asciiTheme="minorEastAsia" w:hAnsiTheme="minorEastAsia"/>
              <w:b/>
              <w:sz w:val="24"/>
              <w:szCs w:val="24"/>
            </w:rPr>
            <w:instrText xml:space="preserve"> PAGEREF _Toc10468506 \h </w:instrText>
          </w:r>
          <w:r>
            <w:rPr>
              <w:rFonts w:asciiTheme="minorEastAsia" w:hAnsiTheme="minorEastAsia"/>
              <w:b/>
              <w:sz w:val="24"/>
              <w:szCs w:val="24"/>
            </w:rPr>
            <w:fldChar w:fldCharType="separate"/>
          </w:r>
          <w:r>
            <w:rPr>
              <w:rFonts w:asciiTheme="minorEastAsia" w:hAnsiTheme="minorEastAsia"/>
              <w:b/>
              <w:sz w:val="24"/>
              <w:szCs w:val="24"/>
            </w:rPr>
            <w:t>2</w:t>
          </w:r>
          <w:r>
            <w:rPr>
              <w:rFonts w:asciiTheme="minorEastAsia" w:hAnsiTheme="minorEastAsia"/>
              <w:b/>
              <w:sz w:val="24"/>
              <w:szCs w:val="24"/>
            </w:rPr>
            <w:fldChar w:fldCharType="end"/>
          </w:r>
          <w:r>
            <w:rPr>
              <w:rFonts w:asciiTheme="minorEastAsia" w:hAnsiTheme="minorEastAsia"/>
              <w:b/>
              <w:sz w:val="24"/>
              <w:szCs w:val="24"/>
            </w:rPr>
            <w:fldChar w:fldCharType="end"/>
          </w:r>
        </w:p>
        <w:p>
          <w:pPr>
            <w:pStyle w:val="12"/>
            <w:tabs>
              <w:tab w:val="right" w:leader="dot" w:pos="10011"/>
            </w:tabs>
            <w:spacing w:line="360" w:lineRule="auto"/>
            <w:rPr>
              <w:rFonts w:asciiTheme="minorEastAsia" w:hAnsiTheme="minorEastAsia"/>
              <w:b/>
              <w:kern w:val="2"/>
              <w:sz w:val="24"/>
              <w:szCs w:val="24"/>
            </w:rPr>
          </w:pPr>
          <w:r>
            <w:fldChar w:fldCharType="begin"/>
          </w:r>
          <w:r>
            <w:instrText xml:space="preserve"> HYPERLINK \l "_Toc10468507" </w:instrText>
          </w:r>
          <w:r>
            <w:fldChar w:fldCharType="separate"/>
          </w:r>
          <w:r>
            <w:rPr>
              <w:rStyle w:val="17"/>
              <w:rFonts w:asciiTheme="minorEastAsia" w:hAnsiTheme="minorEastAsia"/>
              <w:b/>
              <w:sz w:val="24"/>
              <w:szCs w:val="24"/>
            </w:rPr>
            <w:t>1.4.</w:t>
          </w:r>
          <w:r>
            <w:rPr>
              <w:rStyle w:val="17"/>
              <w:rFonts w:hint="eastAsia" w:asciiTheme="minorEastAsia" w:hAnsiTheme="minorEastAsia" w:cstheme="majorBidi"/>
              <w:b/>
              <w:sz w:val="24"/>
              <w:szCs w:val="24"/>
            </w:rPr>
            <w:t xml:space="preserve"> 岩土工程勘察方法、勘察工作布置及其完成情况</w:t>
          </w:r>
          <w:r>
            <w:rPr>
              <w:rFonts w:asciiTheme="minorEastAsia" w:hAnsiTheme="minorEastAsia"/>
              <w:b/>
              <w:sz w:val="24"/>
              <w:szCs w:val="24"/>
            </w:rPr>
            <w:tab/>
          </w:r>
          <w:r>
            <w:rPr>
              <w:rFonts w:asciiTheme="minorEastAsia" w:hAnsiTheme="minorEastAsia"/>
              <w:b/>
              <w:sz w:val="24"/>
              <w:szCs w:val="24"/>
            </w:rPr>
            <w:fldChar w:fldCharType="begin"/>
          </w:r>
          <w:r>
            <w:rPr>
              <w:rFonts w:asciiTheme="minorEastAsia" w:hAnsiTheme="minorEastAsia"/>
              <w:b/>
              <w:sz w:val="24"/>
              <w:szCs w:val="24"/>
            </w:rPr>
            <w:instrText xml:space="preserve"> PAGEREF _Toc10468507 \h </w:instrText>
          </w:r>
          <w:r>
            <w:rPr>
              <w:rFonts w:asciiTheme="minorEastAsia" w:hAnsiTheme="minorEastAsia"/>
              <w:b/>
              <w:sz w:val="24"/>
              <w:szCs w:val="24"/>
            </w:rPr>
            <w:fldChar w:fldCharType="separate"/>
          </w:r>
          <w:r>
            <w:rPr>
              <w:rFonts w:asciiTheme="minorEastAsia" w:hAnsiTheme="minorEastAsia"/>
              <w:b/>
              <w:sz w:val="24"/>
              <w:szCs w:val="24"/>
            </w:rPr>
            <w:t>3</w:t>
          </w:r>
          <w:r>
            <w:rPr>
              <w:rFonts w:asciiTheme="minorEastAsia" w:hAnsiTheme="minorEastAsia"/>
              <w:b/>
              <w:sz w:val="24"/>
              <w:szCs w:val="24"/>
            </w:rPr>
            <w:fldChar w:fldCharType="end"/>
          </w:r>
          <w:r>
            <w:rPr>
              <w:rFonts w:asciiTheme="minorEastAsia" w:hAnsiTheme="minorEastAsia"/>
              <w:b/>
              <w:sz w:val="24"/>
              <w:szCs w:val="24"/>
            </w:rPr>
            <w:fldChar w:fldCharType="end"/>
          </w:r>
        </w:p>
        <w:p>
          <w:pPr>
            <w:pStyle w:val="10"/>
            <w:tabs>
              <w:tab w:val="right" w:leader="dot" w:pos="10011"/>
            </w:tabs>
            <w:spacing w:line="360" w:lineRule="auto"/>
            <w:rPr>
              <w:rFonts w:asciiTheme="minorEastAsia" w:hAnsiTheme="minorEastAsia"/>
              <w:b/>
              <w:kern w:val="2"/>
              <w:sz w:val="24"/>
              <w:szCs w:val="24"/>
            </w:rPr>
          </w:pPr>
          <w:r>
            <w:fldChar w:fldCharType="begin"/>
          </w:r>
          <w:r>
            <w:instrText xml:space="preserve"> HYPERLINK \l "_Toc10468508" </w:instrText>
          </w:r>
          <w:r>
            <w:fldChar w:fldCharType="separate"/>
          </w:r>
          <w:r>
            <w:rPr>
              <w:rStyle w:val="17"/>
              <w:rFonts w:asciiTheme="minorEastAsia" w:hAnsiTheme="minorEastAsia"/>
              <w:b/>
              <w:sz w:val="24"/>
              <w:szCs w:val="24"/>
            </w:rPr>
            <w:t>2.</w:t>
          </w:r>
          <w:r>
            <w:rPr>
              <w:rStyle w:val="17"/>
              <w:rFonts w:hint="eastAsia" w:asciiTheme="minorEastAsia" w:hAnsiTheme="minorEastAsia"/>
              <w:b/>
              <w:sz w:val="24"/>
              <w:szCs w:val="24"/>
            </w:rPr>
            <w:t xml:space="preserve"> 场地环境与工程地质条件</w:t>
          </w:r>
          <w:r>
            <w:rPr>
              <w:rFonts w:asciiTheme="minorEastAsia" w:hAnsiTheme="minorEastAsia"/>
              <w:b/>
              <w:sz w:val="24"/>
              <w:szCs w:val="24"/>
            </w:rPr>
            <w:tab/>
          </w:r>
          <w:r>
            <w:rPr>
              <w:rFonts w:asciiTheme="minorEastAsia" w:hAnsiTheme="minorEastAsia"/>
              <w:b/>
              <w:sz w:val="24"/>
              <w:szCs w:val="24"/>
            </w:rPr>
            <w:fldChar w:fldCharType="begin"/>
          </w:r>
          <w:r>
            <w:rPr>
              <w:rFonts w:asciiTheme="minorEastAsia" w:hAnsiTheme="minorEastAsia"/>
              <w:b/>
              <w:sz w:val="24"/>
              <w:szCs w:val="24"/>
            </w:rPr>
            <w:instrText xml:space="preserve"> PAGEREF _Toc10468508 \h </w:instrText>
          </w:r>
          <w:r>
            <w:rPr>
              <w:rFonts w:asciiTheme="minorEastAsia" w:hAnsiTheme="minorEastAsia"/>
              <w:b/>
              <w:sz w:val="24"/>
              <w:szCs w:val="24"/>
            </w:rPr>
            <w:fldChar w:fldCharType="separate"/>
          </w:r>
          <w:r>
            <w:rPr>
              <w:rFonts w:asciiTheme="minorEastAsia" w:hAnsiTheme="minorEastAsia"/>
              <w:b/>
              <w:sz w:val="24"/>
              <w:szCs w:val="24"/>
            </w:rPr>
            <w:t>4</w:t>
          </w:r>
          <w:r>
            <w:rPr>
              <w:rFonts w:asciiTheme="minorEastAsia" w:hAnsiTheme="minorEastAsia"/>
              <w:b/>
              <w:sz w:val="24"/>
              <w:szCs w:val="24"/>
            </w:rPr>
            <w:fldChar w:fldCharType="end"/>
          </w:r>
          <w:r>
            <w:rPr>
              <w:rFonts w:asciiTheme="minorEastAsia" w:hAnsiTheme="minorEastAsia"/>
              <w:b/>
              <w:sz w:val="24"/>
              <w:szCs w:val="24"/>
            </w:rPr>
            <w:fldChar w:fldCharType="end"/>
          </w:r>
        </w:p>
        <w:p>
          <w:pPr>
            <w:pStyle w:val="12"/>
            <w:tabs>
              <w:tab w:val="right" w:leader="dot" w:pos="10011"/>
            </w:tabs>
            <w:spacing w:line="360" w:lineRule="auto"/>
            <w:rPr>
              <w:rFonts w:asciiTheme="minorEastAsia" w:hAnsiTheme="minorEastAsia"/>
              <w:b/>
              <w:kern w:val="2"/>
              <w:sz w:val="24"/>
              <w:szCs w:val="24"/>
            </w:rPr>
          </w:pPr>
          <w:r>
            <w:fldChar w:fldCharType="begin"/>
          </w:r>
          <w:r>
            <w:instrText xml:space="preserve"> HYPERLINK \l "_Toc10468509" </w:instrText>
          </w:r>
          <w:r>
            <w:fldChar w:fldCharType="separate"/>
          </w:r>
          <w:r>
            <w:rPr>
              <w:rStyle w:val="17"/>
              <w:rFonts w:asciiTheme="minorEastAsia" w:hAnsiTheme="minorEastAsia"/>
              <w:b/>
              <w:sz w:val="24"/>
              <w:szCs w:val="24"/>
            </w:rPr>
            <w:t>2.1.</w:t>
          </w:r>
          <w:r>
            <w:rPr>
              <w:rStyle w:val="17"/>
              <w:rFonts w:hint="eastAsia" w:asciiTheme="minorEastAsia" w:hAnsiTheme="minorEastAsia" w:cstheme="majorBidi"/>
              <w:b/>
              <w:sz w:val="24"/>
              <w:szCs w:val="24"/>
            </w:rPr>
            <w:t xml:space="preserve"> 区域地质背景</w:t>
          </w:r>
          <w:r>
            <w:rPr>
              <w:rFonts w:asciiTheme="minorEastAsia" w:hAnsiTheme="minorEastAsia"/>
              <w:b/>
              <w:sz w:val="24"/>
              <w:szCs w:val="24"/>
            </w:rPr>
            <w:tab/>
          </w:r>
          <w:r>
            <w:rPr>
              <w:rFonts w:asciiTheme="minorEastAsia" w:hAnsiTheme="minorEastAsia"/>
              <w:b/>
              <w:sz w:val="24"/>
              <w:szCs w:val="24"/>
            </w:rPr>
            <w:fldChar w:fldCharType="begin"/>
          </w:r>
          <w:r>
            <w:rPr>
              <w:rFonts w:asciiTheme="minorEastAsia" w:hAnsiTheme="minorEastAsia"/>
              <w:b/>
              <w:sz w:val="24"/>
              <w:szCs w:val="24"/>
            </w:rPr>
            <w:instrText xml:space="preserve"> PAGEREF _Toc10468509 \h </w:instrText>
          </w:r>
          <w:r>
            <w:rPr>
              <w:rFonts w:asciiTheme="minorEastAsia" w:hAnsiTheme="minorEastAsia"/>
              <w:b/>
              <w:sz w:val="24"/>
              <w:szCs w:val="24"/>
            </w:rPr>
            <w:fldChar w:fldCharType="separate"/>
          </w:r>
          <w:r>
            <w:rPr>
              <w:rFonts w:asciiTheme="minorEastAsia" w:hAnsiTheme="minorEastAsia"/>
              <w:b/>
              <w:sz w:val="24"/>
              <w:szCs w:val="24"/>
            </w:rPr>
            <w:t>4</w:t>
          </w:r>
          <w:r>
            <w:rPr>
              <w:rFonts w:asciiTheme="minorEastAsia" w:hAnsiTheme="minorEastAsia"/>
              <w:b/>
              <w:sz w:val="24"/>
              <w:szCs w:val="24"/>
            </w:rPr>
            <w:fldChar w:fldCharType="end"/>
          </w:r>
          <w:r>
            <w:rPr>
              <w:rFonts w:asciiTheme="minorEastAsia" w:hAnsiTheme="minorEastAsia"/>
              <w:b/>
              <w:sz w:val="24"/>
              <w:szCs w:val="24"/>
            </w:rPr>
            <w:fldChar w:fldCharType="end"/>
          </w:r>
        </w:p>
        <w:p>
          <w:pPr>
            <w:pStyle w:val="12"/>
            <w:tabs>
              <w:tab w:val="right" w:leader="dot" w:pos="10011"/>
            </w:tabs>
            <w:spacing w:line="360" w:lineRule="auto"/>
            <w:rPr>
              <w:rFonts w:asciiTheme="minorEastAsia" w:hAnsiTheme="minorEastAsia"/>
              <w:b/>
              <w:kern w:val="2"/>
              <w:sz w:val="24"/>
              <w:szCs w:val="24"/>
            </w:rPr>
          </w:pPr>
          <w:r>
            <w:fldChar w:fldCharType="begin"/>
          </w:r>
          <w:r>
            <w:instrText xml:space="preserve"> HYPERLINK \l "_Toc10468510" </w:instrText>
          </w:r>
          <w:r>
            <w:fldChar w:fldCharType="separate"/>
          </w:r>
          <w:r>
            <w:rPr>
              <w:rStyle w:val="17"/>
              <w:rFonts w:asciiTheme="minorEastAsia" w:hAnsiTheme="minorEastAsia"/>
              <w:b/>
              <w:sz w:val="24"/>
              <w:szCs w:val="24"/>
            </w:rPr>
            <w:t>2.2.</w:t>
          </w:r>
          <w:r>
            <w:rPr>
              <w:rStyle w:val="17"/>
              <w:rFonts w:hint="eastAsia" w:asciiTheme="minorEastAsia" w:hAnsiTheme="minorEastAsia" w:cstheme="majorBidi"/>
              <w:b/>
              <w:sz w:val="24"/>
              <w:szCs w:val="24"/>
            </w:rPr>
            <w:t xml:space="preserve"> 区域地质构造</w:t>
          </w:r>
          <w:r>
            <w:rPr>
              <w:rFonts w:asciiTheme="minorEastAsia" w:hAnsiTheme="minorEastAsia"/>
              <w:b/>
              <w:sz w:val="24"/>
              <w:szCs w:val="24"/>
            </w:rPr>
            <w:tab/>
          </w:r>
          <w:r>
            <w:rPr>
              <w:rFonts w:asciiTheme="minorEastAsia" w:hAnsiTheme="minorEastAsia"/>
              <w:b/>
              <w:sz w:val="24"/>
              <w:szCs w:val="24"/>
            </w:rPr>
            <w:fldChar w:fldCharType="begin"/>
          </w:r>
          <w:r>
            <w:rPr>
              <w:rFonts w:asciiTheme="minorEastAsia" w:hAnsiTheme="minorEastAsia"/>
              <w:b/>
              <w:sz w:val="24"/>
              <w:szCs w:val="24"/>
            </w:rPr>
            <w:instrText xml:space="preserve"> PAGEREF _Toc10468510 \h </w:instrText>
          </w:r>
          <w:r>
            <w:rPr>
              <w:rFonts w:asciiTheme="minorEastAsia" w:hAnsiTheme="minorEastAsia"/>
              <w:b/>
              <w:sz w:val="24"/>
              <w:szCs w:val="24"/>
            </w:rPr>
            <w:fldChar w:fldCharType="separate"/>
          </w:r>
          <w:r>
            <w:rPr>
              <w:rFonts w:asciiTheme="minorEastAsia" w:hAnsiTheme="minorEastAsia"/>
              <w:b/>
              <w:sz w:val="24"/>
              <w:szCs w:val="24"/>
            </w:rPr>
            <w:t>4</w:t>
          </w:r>
          <w:r>
            <w:rPr>
              <w:rFonts w:asciiTheme="minorEastAsia" w:hAnsiTheme="minorEastAsia"/>
              <w:b/>
              <w:sz w:val="24"/>
              <w:szCs w:val="24"/>
            </w:rPr>
            <w:fldChar w:fldCharType="end"/>
          </w:r>
          <w:r>
            <w:rPr>
              <w:rFonts w:asciiTheme="minorEastAsia" w:hAnsiTheme="minorEastAsia"/>
              <w:b/>
              <w:sz w:val="24"/>
              <w:szCs w:val="24"/>
            </w:rPr>
            <w:fldChar w:fldCharType="end"/>
          </w:r>
        </w:p>
        <w:p>
          <w:pPr>
            <w:pStyle w:val="12"/>
            <w:tabs>
              <w:tab w:val="right" w:leader="dot" w:pos="10011"/>
            </w:tabs>
            <w:spacing w:line="360" w:lineRule="auto"/>
            <w:rPr>
              <w:rFonts w:asciiTheme="minorEastAsia" w:hAnsiTheme="minorEastAsia"/>
              <w:b/>
              <w:kern w:val="2"/>
              <w:sz w:val="24"/>
              <w:szCs w:val="24"/>
            </w:rPr>
          </w:pPr>
          <w:r>
            <w:fldChar w:fldCharType="begin"/>
          </w:r>
          <w:r>
            <w:instrText xml:space="preserve"> HYPERLINK \l "_Toc10468511" </w:instrText>
          </w:r>
          <w:r>
            <w:fldChar w:fldCharType="separate"/>
          </w:r>
          <w:r>
            <w:rPr>
              <w:rStyle w:val="17"/>
              <w:rFonts w:asciiTheme="minorEastAsia" w:hAnsiTheme="minorEastAsia"/>
              <w:b/>
              <w:sz w:val="24"/>
              <w:szCs w:val="24"/>
            </w:rPr>
            <w:t>2.3.</w:t>
          </w:r>
          <w:r>
            <w:rPr>
              <w:rStyle w:val="17"/>
              <w:rFonts w:hint="eastAsia" w:asciiTheme="minorEastAsia" w:hAnsiTheme="minorEastAsia" w:cstheme="majorBidi"/>
              <w:b/>
              <w:sz w:val="24"/>
              <w:szCs w:val="24"/>
            </w:rPr>
            <w:t xml:space="preserve"> 区域气候条件</w:t>
          </w:r>
          <w:r>
            <w:rPr>
              <w:rFonts w:asciiTheme="minorEastAsia" w:hAnsiTheme="minorEastAsia"/>
              <w:b/>
              <w:sz w:val="24"/>
              <w:szCs w:val="24"/>
            </w:rPr>
            <w:tab/>
          </w:r>
          <w:r>
            <w:rPr>
              <w:rFonts w:asciiTheme="minorEastAsia" w:hAnsiTheme="minorEastAsia"/>
              <w:b/>
              <w:sz w:val="24"/>
              <w:szCs w:val="24"/>
            </w:rPr>
            <w:fldChar w:fldCharType="begin"/>
          </w:r>
          <w:r>
            <w:rPr>
              <w:rFonts w:asciiTheme="minorEastAsia" w:hAnsiTheme="minorEastAsia"/>
              <w:b/>
              <w:sz w:val="24"/>
              <w:szCs w:val="24"/>
            </w:rPr>
            <w:instrText xml:space="preserve"> PAGEREF _Toc10468511 \h </w:instrText>
          </w:r>
          <w:r>
            <w:rPr>
              <w:rFonts w:asciiTheme="minorEastAsia" w:hAnsiTheme="minorEastAsia"/>
              <w:b/>
              <w:sz w:val="24"/>
              <w:szCs w:val="24"/>
            </w:rPr>
            <w:fldChar w:fldCharType="separate"/>
          </w:r>
          <w:r>
            <w:rPr>
              <w:rFonts w:asciiTheme="minorEastAsia" w:hAnsiTheme="minorEastAsia"/>
              <w:b/>
              <w:sz w:val="24"/>
              <w:szCs w:val="24"/>
            </w:rPr>
            <w:t>4</w:t>
          </w:r>
          <w:r>
            <w:rPr>
              <w:rFonts w:asciiTheme="minorEastAsia" w:hAnsiTheme="minorEastAsia"/>
              <w:b/>
              <w:sz w:val="24"/>
              <w:szCs w:val="24"/>
            </w:rPr>
            <w:fldChar w:fldCharType="end"/>
          </w:r>
          <w:r>
            <w:rPr>
              <w:rFonts w:asciiTheme="minorEastAsia" w:hAnsiTheme="minorEastAsia"/>
              <w:b/>
              <w:sz w:val="24"/>
              <w:szCs w:val="24"/>
            </w:rPr>
            <w:fldChar w:fldCharType="end"/>
          </w:r>
        </w:p>
        <w:p>
          <w:pPr>
            <w:pStyle w:val="12"/>
            <w:tabs>
              <w:tab w:val="right" w:leader="dot" w:pos="10011"/>
            </w:tabs>
            <w:spacing w:line="360" w:lineRule="auto"/>
            <w:rPr>
              <w:rFonts w:asciiTheme="minorEastAsia" w:hAnsiTheme="minorEastAsia"/>
              <w:b/>
              <w:kern w:val="2"/>
              <w:sz w:val="24"/>
              <w:szCs w:val="24"/>
            </w:rPr>
          </w:pPr>
          <w:r>
            <w:fldChar w:fldCharType="begin"/>
          </w:r>
          <w:r>
            <w:instrText xml:space="preserve"> HYPERLINK \l "_Toc10468512" </w:instrText>
          </w:r>
          <w:r>
            <w:fldChar w:fldCharType="separate"/>
          </w:r>
          <w:r>
            <w:rPr>
              <w:rStyle w:val="17"/>
              <w:rFonts w:asciiTheme="minorEastAsia" w:hAnsiTheme="minorEastAsia"/>
              <w:b/>
              <w:sz w:val="24"/>
              <w:szCs w:val="24"/>
            </w:rPr>
            <w:t>2.4.</w:t>
          </w:r>
          <w:r>
            <w:rPr>
              <w:rStyle w:val="17"/>
              <w:rFonts w:hint="eastAsia" w:asciiTheme="minorEastAsia" w:hAnsiTheme="minorEastAsia" w:cstheme="majorBidi"/>
              <w:b/>
              <w:sz w:val="24"/>
              <w:szCs w:val="24"/>
            </w:rPr>
            <w:t xml:space="preserve"> 场地地形地貌条件</w:t>
          </w:r>
          <w:r>
            <w:rPr>
              <w:rFonts w:asciiTheme="minorEastAsia" w:hAnsiTheme="minorEastAsia"/>
              <w:b/>
              <w:sz w:val="24"/>
              <w:szCs w:val="24"/>
            </w:rPr>
            <w:tab/>
          </w:r>
          <w:r>
            <w:rPr>
              <w:rFonts w:asciiTheme="minorEastAsia" w:hAnsiTheme="minorEastAsia"/>
              <w:b/>
              <w:sz w:val="24"/>
              <w:szCs w:val="24"/>
            </w:rPr>
            <w:fldChar w:fldCharType="begin"/>
          </w:r>
          <w:r>
            <w:rPr>
              <w:rFonts w:asciiTheme="minorEastAsia" w:hAnsiTheme="minorEastAsia"/>
              <w:b/>
              <w:sz w:val="24"/>
              <w:szCs w:val="24"/>
            </w:rPr>
            <w:instrText xml:space="preserve"> PAGEREF _Toc10468512 \h </w:instrText>
          </w:r>
          <w:r>
            <w:rPr>
              <w:rFonts w:asciiTheme="minorEastAsia" w:hAnsiTheme="minorEastAsia"/>
              <w:b/>
              <w:sz w:val="24"/>
              <w:szCs w:val="24"/>
            </w:rPr>
            <w:fldChar w:fldCharType="separate"/>
          </w:r>
          <w:r>
            <w:rPr>
              <w:rFonts w:asciiTheme="minorEastAsia" w:hAnsiTheme="minorEastAsia"/>
              <w:b/>
              <w:sz w:val="24"/>
              <w:szCs w:val="24"/>
            </w:rPr>
            <w:t>4</w:t>
          </w:r>
          <w:r>
            <w:rPr>
              <w:rFonts w:asciiTheme="minorEastAsia" w:hAnsiTheme="minorEastAsia"/>
              <w:b/>
              <w:sz w:val="24"/>
              <w:szCs w:val="24"/>
            </w:rPr>
            <w:fldChar w:fldCharType="end"/>
          </w:r>
          <w:r>
            <w:rPr>
              <w:rFonts w:asciiTheme="minorEastAsia" w:hAnsiTheme="minorEastAsia"/>
              <w:b/>
              <w:sz w:val="24"/>
              <w:szCs w:val="24"/>
            </w:rPr>
            <w:fldChar w:fldCharType="end"/>
          </w:r>
        </w:p>
        <w:p>
          <w:pPr>
            <w:pStyle w:val="12"/>
            <w:tabs>
              <w:tab w:val="right" w:leader="dot" w:pos="10011"/>
            </w:tabs>
            <w:spacing w:line="360" w:lineRule="auto"/>
            <w:rPr>
              <w:rFonts w:asciiTheme="minorEastAsia" w:hAnsiTheme="minorEastAsia"/>
              <w:b/>
              <w:kern w:val="2"/>
              <w:sz w:val="24"/>
              <w:szCs w:val="24"/>
            </w:rPr>
          </w:pPr>
          <w:r>
            <w:fldChar w:fldCharType="begin"/>
          </w:r>
          <w:r>
            <w:instrText xml:space="preserve"> HYPERLINK \l "_Toc10468513" </w:instrText>
          </w:r>
          <w:r>
            <w:fldChar w:fldCharType="separate"/>
          </w:r>
          <w:r>
            <w:rPr>
              <w:rStyle w:val="17"/>
              <w:rFonts w:asciiTheme="minorEastAsia" w:hAnsiTheme="minorEastAsia"/>
              <w:b/>
              <w:sz w:val="24"/>
              <w:szCs w:val="24"/>
            </w:rPr>
            <w:t>2.5.</w:t>
          </w:r>
          <w:r>
            <w:rPr>
              <w:rStyle w:val="17"/>
              <w:rFonts w:hint="eastAsia" w:asciiTheme="minorEastAsia" w:hAnsiTheme="minorEastAsia" w:cstheme="majorBidi"/>
              <w:b/>
              <w:sz w:val="24"/>
              <w:szCs w:val="24"/>
            </w:rPr>
            <w:t xml:space="preserve"> 不良地质作用及地质灾害</w:t>
          </w:r>
          <w:r>
            <w:rPr>
              <w:rFonts w:asciiTheme="minorEastAsia" w:hAnsiTheme="minorEastAsia"/>
              <w:b/>
              <w:sz w:val="24"/>
              <w:szCs w:val="24"/>
            </w:rPr>
            <w:tab/>
          </w:r>
          <w:r>
            <w:rPr>
              <w:rFonts w:asciiTheme="minorEastAsia" w:hAnsiTheme="minorEastAsia"/>
              <w:b/>
              <w:sz w:val="24"/>
              <w:szCs w:val="24"/>
            </w:rPr>
            <w:fldChar w:fldCharType="begin"/>
          </w:r>
          <w:r>
            <w:rPr>
              <w:rFonts w:asciiTheme="minorEastAsia" w:hAnsiTheme="minorEastAsia"/>
              <w:b/>
              <w:sz w:val="24"/>
              <w:szCs w:val="24"/>
            </w:rPr>
            <w:instrText xml:space="preserve"> PAGEREF _Toc10468513 \h </w:instrText>
          </w:r>
          <w:r>
            <w:rPr>
              <w:rFonts w:asciiTheme="minorEastAsia" w:hAnsiTheme="minorEastAsia"/>
              <w:b/>
              <w:sz w:val="24"/>
              <w:szCs w:val="24"/>
            </w:rPr>
            <w:fldChar w:fldCharType="separate"/>
          </w:r>
          <w:r>
            <w:rPr>
              <w:rFonts w:asciiTheme="minorEastAsia" w:hAnsiTheme="minorEastAsia"/>
              <w:b/>
              <w:sz w:val="24"/>
              <w:szCs w:val="24"/>
            </w:rPr>
            <w:t>4</w:t>
          </w:r>
          <w:r>
            <w:rPr>
              <w:rFonts w:asciiTheme="minorEastAsia" w:hAnsiTheme="minorEastAsia"/>
              <w:b/>
              <w:sz w:val="24"/>
              <w:szCs w:val="24"/>
            </w:rPr>
            <w:fldChar w:fldCharType="end"/>
          </w:r>
          <w:r>
            <w:rPr>
              <w:rFonts w:asciiTheme="minorEastAsia" w:hAnsiTheme="minorEastAsia"/>
              <w:b/>
              <w:sz w:val="24"/>
              <w:szCs w:val="24"/>
            </w:rPr>
            <w:fldChar w:fldCharType="end"/>
          </w:r>
        </w:p>
        <w:p>
          <w:pPr>
            <w:pStyle w:val="12"/>
            <w:tabs>
              <w:tab w:val="right" w:leader="dot" w:pos="10011"/>
            </w:tabs>
            <w:spacing w:line="360" w:lineRule="auto"/>
            <w:rPr>
              <w:rFonts w:asciiTheme="minorEastAsia" w:hAnsiTheme="minorEastAsia"/>
              <w:b/>
              <w:kern w:val="2"/>
              <w:sz w:val="24"/>
              <w:szCs w:val="24"/>
            </w:rPr>
          </w:pPr>
          <w:r>
            <w:fldChar w:fldCharType="begin"/>
          </w:r>
          <w:r>
            <w:instrText xml:space="preserve"> HYPERLINK \l "_Toc10468514" </w:instrText>
          </w:r>
          <w:r>
            <w:fldChar w:fldCharType="separate"/>
          </w:r>
          <w:r>
            <w:rPr>
              <w:rStyle w:val="17"/>
              <w:rFonts w:asciiTheme="minorEastAsia" w:hAnsiTheme="minorEastAsia"/>
              <w:b/>
              <w:sz w:val="24"/>
              <w:szCs w:val="24"/>
            </w:rPr>
            <w:t>2.6.</w:t>
          </w:r>
          <w:r>
            <w:rPr>
              <w:rStyle w:val="17"/>
              <w:rFonts w:hint="eastAsia" w:asciiTheme="minorEastAsia" w:hAnsiTheme="minorEastAsia" w:cstheme="majorBidi"/>
              <w:b/>
              <w:sz w:val="24"/>
              <w:szCs w:val="24"/>
            </w:rPr>
            <w:t xml:space="preserve"> 地层岩性及分布特征</w:t>
          </w:r>
          <w:r>
            <w:rPr>
              <w:rFonts w:asciiTheme="minorEastAsia" w:hAnsiTheme="minorEastAsia"/>
              <w:b/>
              <w:sz w:val="24"/>
              <w:szCs w:val="24"/>
            </w:rPr>
            <w:tab/>
          </w:r>
          <w:r>
            <w:rPr>
              <w:rFonts w:asciiTheme="minorEastAsia" w:hAnsiTheme="minorEastAsia"/>
              <w:b/>
              <w:sz w:val="24"/>
              <w:szCs w:val="24"/>
            </w:rPr>
            <w:fldChar w:fldCharType="begin"/>
          </w:r>
          <w:r>
            <w:rPr>
              <w:rFonts w:asciiTheme="minorEastAsia" w:hAnsiTheme="minorEastAsia"/>
              <w:b/>
              <w:sz w:val="24"/>
              <w:szCs w:val="24"/>
            </w:rPr>
            <w:instrText xml:space="preserve"> PAGEREF _Toc10468514 \h </w:instrText>
          </w:r>
          <w:r>
            <w:rPr>
              <w:rFonts w:asciiTheme="minorEastAsia" w:hAnsiTheme="minorEastAsia"/>
              <w:b/>
              <w:sz w:val="24"/>
              <w:szCs w:val="24"/>
            </w:rPr>
            <w:fldChar w:fldCharType="separate"/>
          </w:r>
          <w:r>
            <w:rPr>
              <w:rFonts w:asciiTheme="minorEastAsia" w:hAnsiTheme="minorEastAsia"/>
              <w:b/>
              <w:sz w:val="24"/>
              <w:szCs w:val="24"/>
            </w:rPr>
            <w:t>4</w:t>
          </w:r>
          <w:r>
            <w:rPr>
              <w:rFonts w:asciiTheme="minorEastAsia" w:hAnsiTheme="minorEastAsia"/>
              <w:b/>
              <w:sz w:val="24"/>
              <w:szCs w:val="24"/>
            </w:rPr>
            <w:fldChar w:fldCharType="end"/>
          </w:r>
          <w:r>
            <w:rPr>
              <w:rFonts w:asciiTheme="minorEastAsia" w:hAnsiTheme="minorEastAsia"/>
              <w:b/>
              <w:sz w:val="24"/>
              <w:szCs w:val="24"/>
            </w:rPr>
            <w:fldChar w:fldCharType="end"/>
          </w:r>
        </w:p>
        <w:p>
          <w:pPr>
            <w:pStyle w:val="12"/>
            <w:tabs>
              <w:tab w:val="right" w:leader="dot" w:pos="10011"/>
            </w:tabs>
            <w:spacing w:line="360" w:lineRule="auto"/>
            <w:rPr>
              <w:rFonts w:asciiTheme="minorEastAsia" w:hAnsiTheme="minorEastAsia"/>
              <w:b/>
              <w:kern w:val="2"/>
              <w:sz w:val="24"/>
              <w:szCs w:val="24"/>
            </w:rPr>
          </w:pPr>
          <w:r>
            <w:fldChar w:fldCharType="begin"/>
          </w:r>
          <w:r>
            <w:instrText xml:space="preserve"> HYPERLINK \l "_Toc10468515" </w:instrText>
          </w:r>
          <w:r>
            <w:fldChar w:fldCharType="separate"/>
          </w:r>
          <w:r>
            <w:rPr>
              <w:rStyle w:val="17"/>
              <w:rFonts w:asciiTheme="minorEastAsia" w:hAnsiTheme="minorEastAsia"/>
              <w:b/>
              <w:sz w:val="24"/>
              <w:szCs w:val="24"/>
            </w:rPr>
            <w:t>2.7.</w:t>
          </w:r>
          <w:r>
            <w:rPr>
              <w:rStyle w:val="17"/>
              <w:rFonts w:hint="eastAsia" w:asciiTheme="minorEastAsia" w:hAnsiTheme="minorEastAsia" w:cstheme="majorBidi"/>
              <w:b/>
              <w:sz w:val="24"/>
              <w:szCs w:val="24"/>
            </w:rPr>
            <w:t xml:space="preserve"> 场地水文地质条件</w:t>
          </w:r>
          <w:r>
            <w:rPr>
              <w:rFonts w:asciiTheme="minorEastAsia" w:hAnsiTheme="minorEastAsia"/>
              <w:b/>
              <w:sz w:val="24"/>
              <w:szCs w:val="24"/>
            </w:rPr>
            <w:tab/>
          </w:r>
          <w:r>
            <w:rPr>
              <w:rFonts w:asciiTheme="minorEastAsia" w:hAnsiTheme="minorEastAsia"/>
              <w:b/>
              <w:sz w:val="24"/>
              <w:szCs w:val="24"/>
            </w:rPr>
            <w:fldChar w:fldCharType="begin"/>
          </w:r>
          <w:r>
            <w:rPr>
              <w:rFonts w:asciiTheme="minorEastAsia" w:hAnsiTheme="minorEastAsia"/>
              <w:b/>
              <w:sz w:val="24"/>
              <w:szCs w:val="24"/>
            </w:rPr>
            <w:instrText xml:space="preserve"> PAGEREF _Toc10468515 \h </w:instrText>
          </w:r>
          <w:r>
            <w:rPr>
              <w:rFonts w:asciiTheme="minorEastAsia" w:hAnsiTheme="minorEastAsia"/>
              <w:b/>
              <w:sz w:val="24"/>
              <w:szCs w:val="24"/>
            </w:rPr>
            <w:fldChar w:fldCharType="separate"/>
          </w:r>
          <w:r>
            <w:rPr>
              <w:rFonts w:asciiTheme="minorEastAsia" w:hAnsiTheme="minorEastAsia"/>
              <w:b/>
              <w:sz w:val="24"/>
              <w:szCs w:val="24"/>
            </w:rPr>
            <w:t>5</w:t>
          </w:r>
          <w:r>
            <w:rPr>
              <w:rFonts w:asciiTheme="minorEastAsia" w:hAnsiTheme="minorEastAsia"/>
              <w:b/>
              <w:sz w:val="24"/>
              <w:szCs w:val="24"/>
            </w:rPr>
            <w:fldChar w:fldCharType="end"/>
          </w:r>
          <w:r>
            <w:rPr>
              <w:rFonts w:asciiTheme="minorEastAsia" w:hAnsiTheme="minorEastAsia"/>
              <w:b/>
              <w:sz w:val="24"/>
              <w:szCs w:val="24"/>
            </w:rPr>
            <w:fldChar w:fldCharType="end"/>
          </w:r>
        </w:p>
        <w:p>
          <w:pPr>
            <w:pStyle w:val="10"/>
            <w:tabs>
              <w:tab w:val="right" w:leader="dot" w:pos="10011"/>
            </w:tabs>
            <w:spacing w:line="360" w:lineRule="auto"/>
            <w:rPr>
              <w:rFonts w:asciiTheme="minorEastAsia" w:hAnsiTheme="minorEastAsia"/>
              <w:b/>
              <w:kern w:val="2"/>
              <w:sz w:val="24"/>
              <w:szCs w:val="24"/>
            </w:rPr>
          </w:pPr>
          <w:r>
            <w:fldChar w:fldCharType="begin"/>
          </w:r>
          <w:r>
            <w:instrText xml:space="preserve"> HYPERLINK \l "_Toc10468516" </w:instrText>
          </w:r>
          <w:r>
            <w:fldChar w:fldCharType="separate"/>
          </w:r>
          <w:r>
            <w:rPr>
              <w:rStyle w:val="17"/>
              <w:rFonts w:asciiTheme="minorEastAsia" w:hAnsiTheme="minorEastAsia"/>
              <w:b/>
              <w:sz w:val="24"/>
              <w:szCs w:val="24"/>
            </w:rPr>
            <w:t>3.</w:t>
          </w:r>
          <w:r>
            <w:rPr>
              <w:rStyle w:val="17"/>
              <w:rFonts w:hint="eastAsia" w:asciiTheme="minorEastAsia" w:hAnsiTheme="minorEastAsia"/>
              <w:b/>
              <w:sz w:val="24"/>
              <w:szCs w:val="24"/>
            </w:rPr>
            <w:t xml:space="preserve"> 岩土工程分析评价</w:t>
          </w:r>
          <w:r>
            <w:rPr>
              <w:rFonts w:asciiTheme="minorEastAsia" w:hAnsiTheme="minorEastAsia"/>
              <w:b/>
              <w:sz w:val="24"/>
              <w:szCs w:val="24"/>
            </w:rPr>
            <w:tab/>
          </w:r>
          <w:r>
            <w:rPr>
              <w:rFonts w:asciiTheme="minorEastAsia" w:hAnsiTheme="minorEastAsia"/>
              <w:b/>
              <w:sz w:val="24"/>
              <w:szCs w:val="24"/>
            </w:rPr>
            <w:fldChar w:fldCharType="begin"/>
          </w:r>
          <w:r>
            <w:rPr>
              <w:rFonts w:asciiTheme="minorEastAsia" w:hAnsiTheme="minorEastAsia"/>
              <w:b/>
              <w:sz w:val="24"/>
              <w:szCs w:val="24"/>
            </w:rPr>
            <w:instrText xml:space="preserve"> PAGEREF _Toc10468516 \h </w:instrText>
          </w:r>
          <w:r>
            <w:rPr>
              <w:rFonts w:asciiTheme="minorEastAsia" w:hAnsiTheme="minorEastAsia"/>
              <w:b/>
              <w:sz w:val="24"/>
              <w:szCs w:val="24"/>
            </w:rPr>
            <w:fldChar w:fldCharType="separate"/>
          </w:r>
          <w:r>
            <w:rPr>
              <w:rFonts w:asciiTheme="minorEastAsia" w:hAnsiTheme="minorEastAsia"/>
              <w:b/>
              <w:sz w:val="24"/>
              <w:szCs w:val="24"/>
            </w:rPr>
            <w:t>5</w:t>
          </w:r>
          <w:r>
            <w:rPr>
              <w:rFonts w:asciiTheme="minorEastAsia" w:hAnsiTheme="minorEastAsia"/>
              <w:b/>
              <w:sz w:val="24"/>
              <w:szCs w:val="24"/>
            </w:rPr>
            <w:fldChar w:fldCharType="end"/>
          </w:r>
          <w:r>
            <w:rPr>
              <w:rFonts w:asciiTheme="minorEastAsia" w:hAnsiTheme="minorEastAsia"/>
              <w:b/>
              <w:sz w:val="24"/>
              <w:szCs w:val="24"/>
            </w:rPr>
            <w:fldChar w:fldCharType="end"/>
          </w:r>
        </w:p>
        <w:p>
          <w:pPr>
            <w:pStyle w:val="12"/>
            <w:tabs>
              <w:tab w:val="right" w:leader="dot" w:pos="10011"/>
            </w:tabs>
            <w:spacing w:line="360" w:lineRule="auto"/>
            <w:rPr>
              <w:rFonts w:asciiTheme="minorEastAsia" w:hAnsiTheme="minorEastAsia"/>
              <w:b/>
              <w:kern w:val="2"/>
              <w:sz w:val="24"/>
              <w:szCs w:val="24"/>
            </w:rPr>
          </w:pPr>
          <w:r>
            <w:fldChar w:fldCharType="begin"/>
          </w:r>
          <w:r>
            <w:instrText xml:space="preserve"> HYPERLINK \l "_Toc10468517" </w:instrText>
          </w:r>
          <w:r>
            <w:fldChar w:fldCharType="separate"/>
          </w:r>
          <w:r>
            <w:rPr>
              <w:rStyle w:val="17"/>
              <w:rFonts w:asciiTheme="minorEastAsia" w:hAnsiTheme="minorEastAsia" w:cstheme="majorBidi"/>
              <w:b/>
              <w:sz w:val="24"/>
              <w:szCs w:val="24"/>
            </w:rPr>
            <w:t>3.1.</w:t>
          </w:r>
          <w:r>
            <w:rPr>
              <w:rStyle w:val="17"/>
              <w:rFonts w:hint="eastAsia" w:asciiTheme="minorEastAsia" w:hAnsiTheme="minorEastAsia" w:cstheme="majorBidi"/>
              <w:b/>
              <w:sz w:val="24"/>
              <w:szCs w:val="24"/>
            </w:rPr>
            <w:t>特殊性岩土评价</w:t>
          </w:r>
          <w:r>
            <w:rPr>
              <w:rFonts w:asciiTheme="minorEastAsia" w:hAnsiTheme="minorEastAsia"/>
              <w:b/>
              <w:sz w:val="24"/>
              <w:szCs w:val="24"/>
            </w:rPr>
            <w:tab/>
          </w:r>
          <w:r>
            <w:rPr>
              <w:rFonts w:asciiTheme="minorEastAsia" w:hAnsiTheme="minorEastAsia"/>
              <w:b/>
              <w:sz w:val="24"/>
              <w:szCs w:val="24"/>
            </w:rPr>
            <w:fldChar w:fldCharType="begin"/>
          </w:r>
          <w:r>
            <w:rPr>
              <w:rFonts w:asciiTheme="minorEastAsia" w:hAnsiTheme="minorEastAsia"/>
              <w:b/>
              <w:sz w:val="24"/>
              <w:szCs w:val="24"/>
            </w:rPr>
            <w:instrText xml:space="preserve"> PAGEREF _Toc10468517 \h </w:instrText>
          </w:r>
          <w:r>
            <w:rPr>
              <w:rFonts w:asciiTheme="minorEastAsia" w:hAnsiTheme="minorEastAsia"/>
              <w:b/>
              <w:sz w:val="24"/>
              <w:szCs w:val="24"/>
            </w:rPr>
            <w:fldChar w:fldCharType="separate"/>
          </w:r>
          <w:r>
            <w:rPr>
              <w:rFonts w:asciiTheme="minorEastAsia" w:hAnsiTheme="minorEastAsia"/>
              <w:b/>
              <w:sz w:val="24"/>
              <w:szCs w:val="24"/>
            </w:rPr>
            <w:t>5</w:t>
          </w:r>
          <w:r>
            <w:rPr>
              <w:rFonts w:asciiTheme="minorEastAsia" w:hAnsiTheme="minorEastAsia"/>
              <w:b/>
              <w:sz w:val="24"/>
              <w:szCs w:val="24"/>
            </w:rPr>
            <w:fldChar w:fldCharType="end"/>
          </w:r>
          <w:r>
            <w:rPr>
              <w:rFonts w:asciiTheme="minorEastAsia" w:hAnsiTheme="minorEastAsia"/>
              <w:b/>
              <w:sz w:val="24"/>
              <w:szCs w:val="24"/>
            </w:rPr>
            <w:fldChar w:fldCharType="end"/>
          </w:r>
        </w:p>
        <w:p>
          <w:pPr>
            <w:pStyle w:val="12"/>
            <w:tabs>
              <w:tab w:val="right" w:leader="dot" w:pos="10011"/>
            </w:tabs>
            <w:spacing w:line="360" w:lineRule="auto"/>
            <w:rPr>
              <w:rFonts w:asciiTheme="minorEastAsia" w:hAnsiTheme="minorEastAsia"/>
              <w:b/>
              <w:kern w:val="2"/>
              <w:sz w:val="24"/>
              <w:szCs w:val="24"/>
            </w:rPr>
          </w:pPr>
          <w:r>
            <w:fldChar w:fldCharType="begin"/>
          </w:r>
          <w:r>
            <w:instrText xml:space="preserve"> HYPERLINK \l "_Toc10468518" </w:instrText>
          </w:r>
          <w:r>
            <w:fldChar w:fldCharType="separate"/>
          </w:r>
          <w:r>
            <w:rPr>
              <w:rStyle w:val="17"/>
              <w:rFonts w:asciiTheme="minorEastAsia" w:hAnsiTheme="minorEastAsia" w:cstheme="majorBidi"/>
              <w:b/>
              <w:sz w:val="24"/>
              <w:szCs w:val="24"/>
            </w:rPr>
            <w:t>3.2.</w:t>
          </w:r>
          <w:r>
            <w:rPr>
              <w:rStyle w:val="17"/>
              <w:rFonts w:hint="eastAsia" w:asciiTheme="minorEastAsia" w:hAnsiTheme="minorEastAsia" w:cstheme="majorBidi"/>
              <w:b/>
              <w:sz w:val="24"/>
              <w:szCs w:val="24"/>
            </w:rPr>
            <w:t>地下埋藏物评价</w:t>
          </w:r>
          <w:r>
            <w:rPr>
              <w:rFonts w:asciiTheme="minorEastAsia" w:hAnsiTheme="minorEastAsia"/>
              <w:b/>
              <w:sz w:val="24"/>
              <w:szCs w:val="24"/>
            </w:rPr>
            <w:tab/>
          </w:r>
          <w:r>
            <w:rPr>
              <w:rFonts w:asciiTheme="minorEastAsia" w:hAnsiTheme="minorEastAsia"/>
              <w:b/>
              <w:sz w:val="24"/>
              <w:szCs w:val="24"/>
            </w:rPr>
            <w:fldChar w:fldCharType="begin"/>
          </w:r>
          <w:r>
            <w:rPr>
              <w:rFonts w:asciiTheme="minorEastAsia" w:hAnsiTheme="minorEastAsia"/>
              <w:b/>
              <w:sz w:val="24"/>
              <w:szCs w:val="24"/>
            </w:rPr>
            <w:instrText xml:space="preserve"> PAGEREF _Toc10468518 \h </w:instrText>
          </w:r>
          <w:r>
            <w:rPr>
              <w:rFonts w:asciiTheme="minorEastAsia" w:hAnsiTheme="minorEastAsia"/>
              <w:b/>
              <w:sz w:val="24"/>
              <w:szCs w:val="24"/>
            </w:rPr>
            <w:fldChar w:fldCharType="separate"/>
          </w:r>
          <w:r>
            <w:rPr>
              <w:rFonts w:asciiTheme="minorEastAsia" w:hAnsiTheme="minorEastAsia"/>
              <w:b/>
              <w:sz w:val="24"/>
              <w:szCs w:val="24"/>
            </w:rPr>
            <w:t>5</w:t>
          </w:r>
          <w:r>
            <w:rPr>
              <w:rFonts w:asciiTheme="minorEastAsia" w:hAnsiTheme="minorEastAsia"/>
              <w:b/>
              <w:sz w:val="24"/>
              <w:szCs w:val="24"/>
            </w:rPr>
            <w:fldChar w:fldCharType="end"/>
          </w:r>
          <w:r>
            <w:rPr>
              <w:rFonts w:asciiTheme="minorEastAsia" w:hAnsiTheme="minorEastAsia"/>
              <w:b/>
              <w:sz w:val="24"/>
              <w:szCs w:val="24"/>
            </w:rPr>
            <w:fldChar w:fldCharType="end"/>
          </w:r>
        </w:p>
        <w:p>
          <w:pPr>
            <w:pStyle w:val="12"/>
            <w:tabs>
              <w:tab w:val="right" w:leader="dot" w:pos="10011"/>
            </w:tabs>
            <w:spacing w:line="360" w:lineRule="auto"/>
            <w:rPr>
              <w:rFonts w:asciiTheme="minorEastAsia" w:hAnsiTheme="minorEastAsia"/>
              <w:b/>
              <w:kern w:val="2"/>
              <w:sz w:val="24"/>
              <w:szCs w:val="24"/>
            </w:rPr>
          </w:pPr>
          <w:r>
            <w:fldChar w:fldCharType="begin"/>
          </w:r>
          <w:r>
            <w:instrText xml:space="preserve"> HYPERLINK \l "_Toc10468519" </w:instrText>
          </w:r>
          <w:r>
            <w:fldChar w:fldCharType="separate"/>
          </w:r>
          <w:r>
            <w:rPr>
              <w:rStyle w:val="17"/>
              <w:rFonts w:asciiTheme="minorEastAsia" w:hAnsiTheme="minorEastAsia" w:cstheme="majorBidi"/>
              <w:b/>
              <w:sz w:val="24"/>
              <w:szCs w:val="24"/>
            </w:rPr>
            <w:t>3.3.</w:t>
          </w:r>
          <w:r>
            <w:rPr>
              <w:rStyle w:val="17"/>
              <w:rFonts w:hint="eastAsia" w:asciiTheme="minorEastAsia" w:hAnsiTheme="minorEastAsia" w:cstheme="majorBidi"/>
              <w:b/>
              <w:sz w:val="24"/>
              <w:szCs w:val="24"/>
            </w:rPr>
            <w:t>场地地震效应评价</w:t>
          </w:r>
          <w:r>
            <w:rPr>
              <w:rFonts w:asciiTheme="minorEastAsia" w:hAnsiTheme="minorEastAsia"/>
              <w:b/>
              <w:sz w:val="24"/>
              <w:szCs w:val="24"/>
            </w:rPr>
            <w:tab/>
          </w:r>
          <w:r>
            <w:rPr>
              <w:rFonts w:asciiTheme="minorEastAsia" w:hAnsiTheme="minorEastAsia"/>
              <w:b/>
              <w:sz w:val="24"/>
              <w:szCs w:val="24"/>
            </w:rPr>
            <w:fldChar w:fldCharType="begin"/>
          </w:r>
          <w:r>
            <w:rPr>
              <w:rFonts w:asciiTheme="minorEastAsia" w:hAnsiTheme="minorEastAsia"/>
              <w:b/>
              <w:sz w:val="24"/>
              <w:szCs w:val="24"/>
            </w:rPr>
            <w:instrText xml:space="preserve"> PAGEREF _Toc10468519 \h </w:instrText>
          </w:r>
          <w:r>
            <w:rPr>
              <w:rFonts w:asciiTheme="minorEastAsia" w:hAnsiTheme="minorEastAsia"/>
              <w:b/>
              <w:sz w:val="24"/>
              <w:szCs w:val="24"/>
            </w:rPr>
            <w:fldChar w:fldCharType="separate"/>
          </w:r>
          <w:r>
            <w:rPr>
              <w:rFonts w:asciiTheme="minorEastAsia" w:hAnsiTheme="minorEastAsia"/>
              <w:b/>
              <w:sz w:val="24"/>
              <w:szCs w:val="24"/>
            </w:rPr>
            <w:t>5</w:t>
          </w:r>
          <w:r>
            <w:rPr>
              <w:rFonts w:asciiTheme="minorEastAsia" w:hAnsiTheme="minorEastAsia"/>
              <w:b/>
              <w:sz w:val="24"/>
              <w:szCs w:val="24"/>
            </w:rPr>
            <w:fldChar w:fldCharType="end"/>
          </w:r>
          <w:r>
            <w:rPr>
              <w:rFonts w:asciiTheme="minorEastAsia" w:hAnsiTheme="minorEastAsia"/>
              <w:b/>
              <w:sz w:val="24"/>
              <w:szCs w:val="24"/>
            </w:rPr>
            <w:fldChar w:fldCharType="end"/>
          </w:r>
        </w:p>
        <w:p>
          <w:pPr>
            <w:pStyle w:val="12"/>
            <w:tabs>
              <w:tab w:val="right" w:leader="dot" w:pos="10011"/>
            </w:tabs>
            <w:spacing w:line="360" w:lineRule="auto"/>
            <w:rPr>
              <w:rFonts w:asciiTheme="minorEastAsia" w:hAnsiTheme="minorEastAsia"/>
              <w:b/>
              <w:kern w:val="2"/>
              <w:sz w:val="24"/>
              <w:szCs w:val="24"/>
            </w:rPr>
          </w:pPr>
          <w:r>
            <w:fldChar w:fldCharType="begin"/>
          </w:r>
          <w:r>
            <w:instrText xml:space="preserve"> HYPERLINK \l "_Toc10468520" </w:instrText>
          </w:r>
          <w:r>
            <w:fldChar w:fldCharType="separate"/>
          </w:r>
          <w:r>
            <w:rPr>
              <w:rStyle w:val="17"/>
              <w:rFonts w:asciiTheme="minorEastAsia" w:hAnsiTheme="minorEastAsia" w:cstheme="majorBidi"/>
              <w:b/>
              <w:sz w:val="24"/>
              <w:szCs w:val="24"/>
            </w:rPr>
            <w:t>3.4.</w:t>
          </w:r>
          <w:r>
            <w:rPr>
              <w:rStyle w:val="17"/>
              <w:rFonts w:hint="eastAsia" w:asciiTheme="minorEastAsia" w:hAnsiTheme="minorEastAsia" w:cstheme="majorBidi"/>
              <w:b/>
              <w:sz w:val="24"/>
              <w:szCs w:val="24"/>
            </w:rPr>
            <w:t>标准冻胀评价</w:t>
          </w:r>
          <w:r>
            <w:rPr>
              <w:rFonts w:asciiTheme="minorEastAsia" w:hAnsiTheme="minorEastAsia"/>
              <w:b/>
              <w:sz w:val="24"/>
              <w:szCs w:val="24"/>
            </w:rPr>
            <w:tab/>
          </w:r>
          <w:r>
            <w:rPr>
              <w:rFonts w:asciiTheme="minorEastAsia" w:hAnsiTheme="minorEastAsia"/>
              <w:b/>
              <w:sz w:val="24"/>
              <w:szCs w:val="24"/>
            </w:rPr>
            <w:fldChar w:fldCharType="begin"/>
          </w:r>
          <w:r>
            <w:rPr>
              <w:rFonts w:asciiTheme="minorEastAsia" w:hAnsiTheme="minorEastAsia"/>
              <w:b/>
              <w:sz w:val="24"/>
              <w:szCs w:val="24"/>
            </w:rPr>
            <w:instrText xml:space="preserve"> PAGEREF _Toc10468520 \h </w:instrText>
          </w:r>
          <w:r>
            <w:rPr>
              <w:rFonts w:asciiTheme="minorEastAsia" w:hAnsiTheme="minorEastAsia"/>
              <w:b/>
              <w:sz w:val="24"/>
              <w:szCs w:val="24"/>
            </w:rPr>
            <w:fldChar w:fldCharType="separate"/>
          </w:r>
          <w:r>
            <w:rPr>
              <w:rFonts w:asciiTheme="minorEastAsia" w:hAnsiTheme="minorEastAsia"/>
              <w:b/>
              <w:sz w:val="24"/>
              <w:szCs w:val="24"/>
            </w:rPr>
            <w:t>6</w:t>
          </w:r>
          <w:r>
            <w:rPr>
              <w:rFonts w:asciiTheme="minorEastAsia" w:hAnsiTheme="minorEastAsia"/>
              <w:b/>
              <w:sz w:val="24"/>
              <w:szCs w:val="24"/>
            </w:rPr>
            <w:fldChar w:fldCharType="end"/>
          </w:r>
          <w:r>
            <w:rPr>
              <w:rFonts w:asciiTheme="minorEastAsia" w:hAnsiTheme="minorEastAsia"/>
              <w:b/>
              <w:sz w:val="24"/>
              <w:szCs w:val="24"/>
            </w:rPr>
            <w:fldChar w:fldCharType="end"/>
          </w:r>
        </w:p>
        <w:p>
          <w:pPr>
            <w:pStyle w:val="12"/>
            <w:tabs>
              <w:tab w:val="right" w:leader="dot" w:pos="10011"/>
            </w:tabs>
            <w:spacing w:line="360" w:lineRule="auto"/>
            <w:rPr>
              <w:rFonts w:asciiTheme="minorEastAsia" w:hAnsiTheme="minorEastAsia"/>
              <w:b/>
              <w:kern w:val="2"/>
              <w:sz w:val="24"/>
              <w:szCs w:val="24"/>
            </w:rPr>
          </w:pPr>
          <w:r>
            <w:fldChar w:fldCharType="begin"/>
          </w:r>
          <w:r>
            <w:instrText xml:space="preserve"> HYPERLINK \l "_Toc10468521" </w:instrText>
          </w:r>
          <w:r>
            <w:fldChar w:fldCharType="separate"/>
          </w:r>
          <w:r>
            <w:rPr>
              <w:rStyle w:val="17"/>
              <w:rFonts w:asciiTheme="minorEastAsia" w:hAnsiTheme="minorEastAsia" w:cstheme="majorBidi"/>
              <w:b/>
              <w:sz w:val="24"/>
              <w:szCs w:val="24"/>
            </w:rPr>
            <w:t>3.5.</w:t>
          </w:r>
          <w:r>
            <w:rPr>
              <w:rStyle w:val="17"/>
              <w:rFonts w:hint="eastAsia" w:asciiTheme="minorEastAsia" w:hAnsiTheme="minorEastAsia" w:cstheme="majorBidi"/>
              <w:b/>
              <w:sz w:val="24"/>
              <w:szCs w:val="24"/>
            </w:rPr>
            <w:t>场地稳定性和适宜性评价</w:t>
          </w:r>
          <w:r>
            <w:rPr>
              <w:rFonts w:asciiTheme="minorEastAsia" w:hAnsiTheme="minorEastAsia"/>
              <w:b/>
              <w:sz w:val="24"/>
              <w:szCs w:val="24"/>
            </w:rPr>
            <w:tab/>
          </w:r>
          <w:r>
            <w:rPr>
              <w:rFonts w:asciiTheme="minorEastAsia" w:hAnsiTheme="minorEastAsia"/>
              <w:b/>
              <w:sz w:val="24"/>
              <w:szCs w:val="24"/>
            </w:rPr>
            <w:fldChar w:fldCharType="begin"/>
          </w:r>
          <w:r>
            <w:rPr>
              <w:rFonts w:asciiTheme="minorEastAsia" w:hAnsiTheme="minorEastAsia"/>
              <w:b/>
              <w:sz w:val="24"/>
              <w:szCs w:val="24"/>
            </w:rPr>
            <w:instrText xml:space="preserve"> PAGEREF _Toc10468521 \h </w:instrText>
          </w:r>
          <w:r>
            <w:rPr>
              <w:rFonts w:asciiTheme="minorEastAsia" w:hAnsiTheme="minorEastAsia"/>
              <w:b/>
              <w:sz w:val="24"/>
              <w:szCs w:val="24"/>
            </w:rPr>
            <w:fldChar w:fldCharType="separate"/>
          </w:r>
          <w:r>
            <w:rPr>
              <w:rFonts w:asciiTheme="minorEastAsia" w:hAnsiTheme="minorEastAsia"/>
              <w:b/>
              <w:sz w:val="24"/>
              <w:szCs w:val="24"/>
            </w:rPr>
            <w:t>6</w:t>
          </w:r>
          <w:r>
            <w:rPr>
              <w:rFonts w:asciiTheme="minorEastAsia" w:hAnsiTheme="minorEastAsia"/>
              <w:b/>
              <w:sz w:val="24"/>
              <w:szCs w:val="24"/>
            </w:rPr>
            <w:fldChar w:fldCharType="end"/>
          </w:r>
          <w:r>
            <w:rPr>
              <w:rFonts w:asciiTheme="minorEastAsia" w:hAnsiTheme="minorEastAsia"/>
              <w:b/>
              <w:sz w:val="24"/>
              <w:szCs w:val="24"/>
            </w:rPr>
            <w:fldChar w:fldCharType="end"/>
          </w:r>
        </w:p>
        <w:p>
          <w:pPr>
            <w:pStyle w:val="12"/>
            <w:tabs>
              <w:tab w:val="right" w:leader="dot" w:pos="10011"/>
            </w:tabs>
            <w:spacing w:line="360" w:lineRule="auto"/>
            <w:rPr>
              <w:rFonts w:asciiTheme="minorEastAsia" w:hAnsiTheme="minorEastAsia"/>
              <w:b/>
              <w:kern w:val="2"/>
              <w:sz w:val="24"/>
              <w:szCs w:val="24"/>
            </w:rPr>
          </w:pPr>
          <w:r>
            <w:fldChar w:fldCharType="begin"/>
          </w:r>
          <w:r>
            <w:instrText xml:space="preserve"> HYPERLINK \l "_Toc10468522" </w:instrText>
          </w:r>
          <w:r>
            <w:fldChar w:fldCharType="separate"/>
          </w:r>
          <w:r>
            <w:rPr>
              <w:rStyle w:val="17"/>
              <w:rFonts w:asciiTheme="minorEastAsia" w:hAnsiTheme="minorEastAsia" w:cstheme="majorBidi"/>
              <w:b/>
              <w:sz w:val="24"/>
              <w:szCs w:val="24"/>
            </w:rPr>
            <w:t>3.6.</w:t>
          </w:r>
          <w:r>
            <w:rPr>
              <w:rStyle w:val="17"/>
              <w:rFonts w:hint="eastAsia" w:asciiTheme="minorEastAsia" w:hAnsiTheme="minorEastAsia" w:cstheme="majorBidi"/>
              <w:b/>
              <w:sz w:val="24"/>
              <w:szCs w:val="24"/>
            </w:rPr>
            <w:t>岩土参数统计分析</w:t>
          </w:r>
          <w:r>
            <w:rPr>
              <w:rFonts w:asciiTheme="minorEastAsia" w:hAnsiTheme="minorEastAsia"/>
              <w:b/>
              <w:sz w:val="24"/>
              <w:szCs w:val="24"/>
            </w:rPr>
            <w:tab/>
          </w:r>
          <w:r>
            <w:rPr>
              <w:rFonts w:asciiTheme="minorEastAsia" w:hAnsiTheme="minorEastAsia"/>
              <w:b/>
              <w:sz w:val="24"/>
              <w:szCs w:val="24"/>
            </w:rPr>
            <w:fldChar w:fldCharType="begin"/>
          </w:r>
          <w:r>
            <w:rPr>
              <w:rFonts w:asciiTheme="minorEastAsia" w:hAnsiTheme="minorEastAsia"/>
              <w:b/>
              <w:sz w:val="24"/>
              <w:szCs w:val="24"/>
            </w:rPr>
            <w:instrText xml:space="preserve"> PAGEREF _Toc10468522 \h </w:instrText>
          </w:r>
          <w:r>
            <w:rPr>
              <w:rFonts w:asciiTheme="minorEastAsia" w:hAnsiTheme="minorEastAsia"/>
              <w:b/>
              <w:sz w:val="24"/>
              <w:szCs w:val="24"/>
            </w:rPr>
            <w:fldChar w:fldCharType="separate"/>
          </w:r>
          <w:r>
            <w:rPr>
              <w:rFonts w:asciiTheme="minorEastAsia" w:hAnsiTheme="minorEastAsia"/>
              <w:b/>
              <w:sz w:val="24"/>
              <w:szCs w:val="24"/>
            </w:rPr>
            <w:t>7</w:t>
          </w:r>
          <w:r>
            <w:rPr>
              <w:rFonts w:asciiTheme="minorEastAsia" w:hAnsiTheme="minorEastAsia"/>
              <w:b/>
              <w:sz w:val="24"/>
              <w:szCs w:val="24"/>
            </w:rPr>
            <w:fldChar w:fldCharType="end"/>
          </w:r>
          <w:r>
            <w:rPr>
              <w:rFonts w:asciiTheme="minorEastAsia" w:hAnsiTheme="minorEastAsia"/>
              <w:b/>
              <w:sz w:val="24"/>
              <w:szCs w:val="24"/>
            </w:rPr>
            <w:fldChar w:fldCharType="end"/>
          </w:r>
        </w:p>
        <w:p>
          <w:pPr>
            <w:pStyle w:val="10"/>
            <w:tabs>
              <w:tab w:val="right" w:leader="dot" w:pos="10011"/>
            </w:tabs>
            <w:spacing w:line="360" w:lineRule="auto"/>
            <w:rPr>
              <w:rFonts w:asciiTheme="minorEastAsia" w:hAnsiTheme="minorEastAsia"/>
              <w:b/>
              <w:kern w:val="2"/>
              <w:sz w:val="24"/>
              <w:szCs w:val="24"/>
            </w:rPr>
          </w:pPr>
          <w:r>
            <w:fldChar w:fldCharType="begin"/>
          </w:r>
          <w:r>
            <w:instrText xml:space="preserve"> HYPERLINK \l "_Toc10468523" </w:instrText>
          </w:r>
          <w:r>
            <w:fldChar w:fldCharType="separate"/>
          </w:r>
          <w:r>
            <w:rPr>
              <w:rStyle w:val="17"/>
              <w:rFonts w:asciiTheme="minorEastAsia" w:hAnsiTheme="minorEastAsia"/>
              <w:b/>
              <w:sz w:val="24"/>
              <w:szCs w:val="24"/>
              <w:lang w:val="zh-CN"/>
            </w:rPr>
            <w:t>4.</w:t>
          </w:r>
          <w:r>
            <w:rPr>
              <w:rStyle w:val="17"/>
              <w:rFonts w:hint="eastAsia" w:asciiTheme="minorEastAsia" w:hAnsiTheme="minorEastAsia"/>
              <w:b/>
              <w:sz w:val="24"/>
              <w:szCs w:val="24"/>
            </w:rPr>
            <w:t xml:space="preserve"> 地基基础方案分析评价</w:t>
          </w:r>
          <w:r>
            <w:rPr>
              <w:rFonts w:asciiTheme="minorEastAsia" w:hAnsiTheme="minorEastAsia"/>
              <w:b/>
              <w:sz w:val="24"/>
              <w:szCs w:val="24"/>
            </w:rPr>
            <w:tab/>
          </w:r>
          <w:r>
            <w:rPr>
              <w:rFonts w:asciiTheme="minorEastAsia" w:hAnsiTheme="minorEastAsia"/>
              <w:b/>
              <w:sz w:val="24"/>
              <w:szCs w:val="24"/>
            </w:rPr>
            <w:fldChar w:fldCharType="begin"/>
          </w:r>
          <w:r>
            <w:rPr>
              <w:rFonts w:asciiTheme="minorEastAsia" w:hAnsiTheme="minorEastAsia"/>
              <w:b/>
              <w:sz w:val="24"/>
              <w:szCs w:val="24"/>
            </w:rPr>
            <w:instrText xml:space="preserve"> PAGEREF _Toc10468523 \h </w:instrText>
          </w:r>
          <w:r>
            <w:rPr>
              <w:rFonts w:asciiTheme="minorEastAsia" w:hAnsiTheme="minorEastAsia"/>
              <w:b/>
              <w:sz w:val="24"/>
              <w:szCs w:val="24"/>
            </w:rPr>
            <w:fldChar w:fldCharType="separate"/>
          </w:r>
          <w:r>
            <w:rPr>
              <w:rFonts w:asciiTheme="minorEastAsia" w:hAnsiTheme="minorEastAsia"/>
              <w:b/>
              <w:sz w:val="24"/>
              <w:szCs w:val="24"/>
            </w:rPr>
            <w:t>7</w:t>
          </w:r>
          <w:r>
            <w:rPr>
              <w:rFonts w:asciiTheme="minorEastAsia" w:hAnsiTheme="minorEastAsia"/>
              <w:b/>
              <w:sz w:val="24"/>
              <w:szCs w:val="24"/>
            </w:rPr>
            <w:fldChar w:fldCharType="end"/>
          </w:r>
          <w:r>
            <w:rPr>
              <w:rFonts w:asciiTheme="minorEastAsia" w:hAnsiTheme="minorEastAsia"/>
              <w:b/>
              <w:sz w:val="24"/>
              <w:szCs w:val="24"/>
            </w:rPr>
            <w:fldChar w:fldCharType="end"/>
          </w:r>
        </w:p>
        <w:p>
          <w:pPr>
            <w:pStyle w:val="12"/>
            <w:tabs>
              <w:tab w:val="right" w:leader="dot" w:pos="10011"/>
            </w:tabs>
            <w:spacing w:line="360" w:lineRule="auto"/>
            <w:rPr>
              <w:rFonts w:asciiTheme="minorEastAsia" w:hAnsiTheme="minorEastAsia"/>
              <w:b/>
              <w:kern w:val="2"/>
              <w:sz w:val="24"/>
              <w:szCs w:val="24"/>
            </w:rPr>
          </w:pPr>
          <w:r>
            <w:fldChar w:fldCharType="begin"/>
          </w:r>
          <w:r>
            <w:instrText xml:space="preserve"> HYPERLINK \l "_Toc10468524" </w:instrText>
          </w:r>
          <w:r>
            <w:fldChar w:fldCharType="separate"/>
          </w:r>
          <w:r>
            <w:rPr>
              <w:rStyle w:val="17"/>
              <w:rFonts w:asciiTheme="minorEastAsia" w:hAnsiTheme="minorEastAsia" w:cstheme="majorBidi"/>
              <w:b/>
              <w:sz w:val="24"/>
              <w:szCs w:val="24"/>
            </w:rPr>
            <w:t>4.1.</w:t>
          </w:r>
          <w:r>
            <w:rPr>
              <w:rStyle w:val="17"/>
              <w:rFonts w:hint="eastAsia" w:asciiTheme="minorEastAsia" w:hAnsiTheme="minorEastAsia" w:cstheme="majorBidi"/>
              <w:b/>
              <w:sz w:val="24"/>
              <w:szCs w:val="24"/>
            </w:rPr>
            <w:t>天然地基浅基础可行性分析</w:t>
          </w:r>
          <w:r>
            <w:rPr>
              <w:rFonts w:asciiTheme="minorEastAsia" w:hAnsiTheme="minorEastAsia"/>
              <w:b/>
              <w:sz w:val="24"/>
              <w:szCs w:val="24"/>
            </w:rPr>
            <w:tab/>
          </w:r>
          <w:r>
            <w:rPr>
              <w:rFonts w:asciiTheme="minorEastAsia" w:hAnsiTheme="minorEastAsia"/>
              <w:b/>
              <w:sz w:val="24"/>
              <w:szCs w:val="24"/>
            </w:rPr>
            <w:fldChar w:fldCharType="begin"/>
          </w:r>
          <w:r>
            <w:rPr>
              <w:rFonts w:asciiTheme="minorEastAsia" w:hAnsiTheme="minorEastAsia"/>
              <w:b/>
              <w:sz w:val="24"/>
              <w:szCs w:val="24"/>
            </w:rPr>
            <w:instrText xml:space="preserve"> PAGEREF _Toc10468524 \h </w:instrText>
          </w:r>
          <w:r>
            <w:rPr>
              <w:rFonts w:asciiTheme="minorEastAsia" w:hAnsiTheme="minorEastAsia"/>
              <w:b/>
              <w:sz w:val="24"/>
              <w:szCs w:val="24"/>
            </w:rPr>
            <w:fldChar w:fldCharType="separate"/>
          </w:r>
          <w:r>
            <w:rPr>
              <w:rFonts w:asciiTheme="minorEastAsia" w:hAnsiTheme="minorEastAsia"/>
              <w:b/>
              <w:sz w:val="24"/>
              <w:szCs w:val="24"/>
            </w:rPr>
            <w:t>7</w:t>
          </w:r>
          <w:r>
            <w:rPr>
              <w:rFonts w:asciiTheme="minorEastAsia" w:hAnsiTheme="minorEastAsia"/>
              <w:b/>
              <w:sz w:val="24"/>
              <w:szCs w:val="24"/>
            </w:rPr>
            <w:fldChar w:fldCharType="end"/>
          </w:r>
          <w:r>
            <w:rPr>
              <w:rFonts w:asciiTheme="minorEastAsia" w:hAnsiTheme="minorEastAsia"/>
              <w:b/>
              <w:sz w:val="24"/>
              <w:szCs w:val="24"/>
            </w:rPr>
            <w:fldChar w:fldCharType="end"/>
          </w:r>
        </w:p>
        <w:p>
          <w:pPr>
            <w:pStyle w:val="12"/>
            <w:tabs>
              <w:tab w:val="right" w:leader="dot" w:pos="10011"/>
            </w:tabs>
            <w:spacing w:line="360" w:lineRule="auto"/>
            <w:rPr>
              <w:rFonts w:asciiTheme="minorEastAsia" w:hAnsiTheme="minorEastAsia"/>
              <w:b/>
              <w:kern w:val="2"/>
              <w:sz w:val="24"/>
              <w:szCs w:val="24"/>
            </w:rPr>
          </w:pPr>
          <w:r>
            <w:fldChar w:fldCharType="begin"/>
          </w:r>
          <w:r>
            <w:instrText xml:space="preserve"> HYPERLINK \l "_Toc10468525" </w:instrText>
          </w:r>
          <w:r>
            <w:fldChar w:fldCharType="separate"/>
          </w:r>
          <w:r>
            <w:rPr>
              <w:rStyle w:val="17"/>
              <w:rFonts w:asciiTheme="minorEastAsia" w:hAnsiTheme="minorEastAsia" w:cstheme="majorBidi"/>
              <w:b/>
              <w:sz w:val="24"/>
              <w:szCs w:val="24"/>
            </w:rPr>
            <w:t>4.2.</w:t>
          </w:r>
          <w:r>
            <w:rPr>
              <w:rStyle w:val="17"/>
              <w:rFonts w:hint="eastAsia" w:asciiTheme="minorEastAsia" w:hAnsiTheme="minorEastAsia" w:cstheme="majorBidi"/>
              <w:b/>
              <w:sz w:val="24"/>
              <w:szCs w:val="24"/>
            </w:rPr>
            <w:t>桩基础分析</w:t>
          </w:r>
          <w:r>
            <w:rPr>
              <w:rFonts w:asciiTheme="minorEastAsia" w:hAnsiTheme="minorEastAsia"/>
              <w:b/>
              <w:sz w:val="24"/>
              <w:szCs w:val="24"/>
            </w:rPr>
            <w:tab/>
          </w:r>
          <w:r>
            <w:rPr>
              <w:rFonts w:asciiTheme="minorEastAsia" w:hAnsiTheme="minorEastAsia"/>
              <w:b/>
              <w:sz w:val="24"/>
              <w:szCs w:val="24"/>
            </w:rPr>
            <w:fldChar w:fldCharType="begin"/>
          </w:r>
          <w:r>
            <w:rPr>
              <w:rFonts w:asciiTheme="minorEastAsia" w:hAnsiTheme="minorEastAsia"/>
              <w:b/>
              <w:sz w:val="24"/>
              <w:szCs w:val="24"/>
            </w:rPr>
            <w:instrText xml:space="preserve"> PAGEREF _Toc10468525 \h </w:instrText>
          </w:r>
          <w:r>
            <w:rPr>
              <w:rFonts w:asciiTheme="minorEastAsia" w:hAnsiTheme="minorEastAsia"/>
              <w:b/>
              <w:sz w:val="24"/>
              <w:szCs w:val="24"/>
            </w:rPr>
            <w:fldChar w:fldCharType="separate"/>
          </w:r>
          <w:r>
            <w:rPr>
              <w:rFonts w:asciiTheme="minorEastAsia" w:hAnsiTheme="minorEastAsia"/>
              <w:b/>
              <w:sz w:val="24"/>
              <w:szCs w:val="24"/>
            </w:rPr>
            <w:t>7</w:t>
          </w:r>
          <w:r>
            <w:rPr>
              <w:rFonts w:asciiTheme="minorEastAsia" w:hAnsiTheme="minorEastAsia"/>
              <w:b/>
              <w:sz w:val="24"/>
              <w:szCs w:val="24"/>
            </w:rPr>
            <w:fldChar w:fldCharType="end"/>
          </w:r>
          <w:r>
            <w:rPr>
              <w:rFonts w:asciiTheme="minorEastAsia" w:hAnsiTheme="minorEastAsia"/>
              <w:b/>
              <w:sz w:val="24"/>
              <w:szCs w:val="24"/>
            </w:rPr>
            <w:fldChar w:fldCharType="end"/>
          </w:r>
        </w:p>
        <w:p>
          <w:pPr>
            <w:pStyle w:val="12"/>
            <w:tabs>
              <w:tab w:val="right" w:leader="dot" w:pos="10011"/>
            </w:tabs>
            <w:spacing w:line="360" w:lineRule="auto"/>
            <w:rPr>
              <w:rFonts w:asciiTheme="minorEastAsia" w:hAnsiTheme="minorEastAsia"/>
              <w:b/>
              <w:kern w:val="2"/>
              <w:sz w:val="24"/>
              <w:szCs w:val="24"/>
            </w:rPr>
          </w:pPr>
          <w:r>
            <w:fldChar w:fldCharType="begin"/>
          </w:r>
          <w:r>
            <w:instrText xml:space="preserve"> HYPERLINK \l "_Toc10468526" </w:instrText>
          </w:r>
          <w:r>
            <w:fldChar w:fldCharType="separate"/>
          </w:r>
          <w:r>
            <w:rPr>
              <w:rStyle w:val="17"/>
              <w:rFonts w:asciiTheme="minorEastAsia" w:hAnsiTheme="minorEastAsia" w:cstheme="majorBidi"/>
              <w:b/>
              <w:sz w:val="24"/>
              <w:szCs w:val="24"/>
            </w:rPr>
            <w:t>4.3.</w:t>
          </w:r>
          <w:r>
            <w:rPr>
              <w:rStyle w:val="17"/>
              <w:rFonts w:hint="eastAsia" w:asciiTheme="minorEastAsia" w:hAnsiTheme="minorEastAsia" w:cstheme="majorBidi"/>
              <w:b/>
              <w:sz w:val="24"/>
              <w:szCs w:val="24"/>
            </w:rPr>
            <w:t>基础方案建议</w:t>
          </w:r>
          <w:r>
            <w:rPr>
              <w:rFonts w:asciiTheme="minorEastAsia" w:hAnsiTheme="minorEastAsia"/>
              <w:b/>
              <w:sz w:val="24"/>
              <w:szCs w:val="24"/>
            </w:rPr>
            <w:tab/>
          </w:r>
          <w:r>
            <w:rPr>
              <w:rFonts w:asciiTheme="minorEastAsia" w:hAnsiTheme="minorEastAsia"/>
              <w:b/>
              <w:sz w:val="24"/>
              <w:szCs w:val="24"/>
            </w:rPr>
            <w:fldChar w:fldCharType="begin"/>
          </w:r>
          <w:r>
            <w:rPr>
              <w:rFonts w:asciiTheme="minorEastAsia" w:hAnsiTheme="minorEastAsia"/>
              <w:b/>
              <w:sz w:val="24"/>
              <w:szCs w:val="24"/>
            </w:rPr>
            <w:instrText xml:space="preserve"> PAGEREF _Toc10468526 \h </w:instrText>
          </w:r>
          <w:r>
            <w:rPr>
              <w:rFonts w:asciiTheme="minorEastAsia" w:hAnsiTheme="minorEastAsia"/>
              <w:b/>
              <w:sz w:val="24"/>
              <w:szCs w:val="24"/>
            </w:rPr>
            <w:fldChar w:fldCharType="separate"/>
          </w:r>
          <w:r>
            <w:rPr>
              <w:rFonts w:asciiTheme="minorEastAsia" w:hAnsiTheme="minorEastAsia"/>
              <w:b/>
              <w:sz w:val="24"/>
              <w:szCs w:val="24"/>
            </w:rPr>
            <w:t>7</w:t>
          </w:r>
          <w:r>
            <w:rPr>
              <w:rFonts w:asciiTheme="minorEastAsia" w:hAnsiTheme="minorEastAsia"/>
              <w:b/>
              <w:sz w:val="24"/>
              <w:szCs w:val="24"/>
            </w:rPr>
            <w:fldChar w:fldCharType="end"/>
          </w:r>
          <w:r>
            <w:rPr>
              <w:rFonts w:asciiTheme="minorEastAsia" w:hAnsiTheme="minorEastAsia"/>
              <w:b/>
              <w:sz w:val="24"/>
              <w:szCs w:val="24"/>
            </w:rPr>
            <w:fldChar w:fldCharType="end"/>
          </w:r>
        </w:p>
        <w:p>
          <w:pPr>
            <w:pStyle w:val="12"/>
            <w:tabs>
              <w:tab w:val="right" w:leader="dot" w:pos="10011"/>
            </w:tabs>
            <w:spacing w:line="360" w:lineRule="auto"/>
            <w:rPr>
              <w:rFonts w:asciiTheme="minorEastAsia" w:hAnsiTheme="minorEastAsia"/>
              <w:b/>
              <w:kern w:val="2"/>
              <w:sz w:val="24"/>
              <w:szCs w:val="24"/>
            </w:rPr>
          </w:pPr>
          <w:r>
            <w:fldChar w:fldCharType="begin"/>
          </w:r>
          <w:r>
            <w:instrText xml:space="preserve"> HYPERLINK \l "_Toc10468527" </w:instrText>
          </w:r>
          <w:r>
            <w:fldChar w:fldCharType="separate"/>
          </w:r>
          <w:r>
            <w:rPr>
              <w:rStyle w:val="17"/>
              <w:rFonts w:asciiTheme="minorEastAsia" w:hAnsiTheme="minorEastAsia" w:cstheme="majorBidi"/>
              <w:b/>
              <w:sz w:val="24"/>
              <w:szCs w:val="24"/>
            </w:rPr>
            <w:t>4.4.</w:t>
          </w:r>
          <w:r>
            <w:rPr>
              <w:rStyle w:val="17"/>
              <w:rFonts w:hint="eastAsia" w:asciiTheme="minorEastAsia" w:hAnsiTheme="minorEastAsia" w:cstheme="majorBidi"/>
              <w:b/>
              <w:sz w:val="24"/>
              <w:szCs w:val="24"/>
            </w:rPr>
            <w:t>桩基础</w:t>
          </w:r>
          <w:r>
            <w:rPr>
              <w:rStyle w:val="17"/>
              <w:rFonts w:asciiTheme="minorEastAsia" w:hAnsiTheme="minorEastAsia" w:cstheme="majorBidi"/>
              <w:b/>
              <w:sz w:val="24"/>
              <w:szCs w:val="24"/>
            </w:rPr>
            <w:t>(</w:t>
          </w:r>
          <w:r>
            <w:rPr>
              <w:rStyle w:val="17"/>
              <w:rFonts w:hint="eastAsia" w:asciiTheme="minorEastAsia" w:hAnsiTheme="minorEastAsia" w:cstheme="majorBidi"/>
              <w:b/>
              <w:sz w:val="24"/>
              <w:szCs w:val="24"/>
            </w:rPr>
            <w:t>桩型及桩基计算参数</w:t>
          </w:r>
          <w:r>
            <w:rPr>
              <w:rStyle w:val="17"/>
              <w:rFonts w:asciiTheme="minorEastAsia" w:hAnsiTheme="minorEastAsia" w:cstheme="majorBidi"/>
              <w:b/>
              <w:sz w:val="24"/>
              <w:szCs w:val="24"/>
            </w:rPr>
            <w:t>)</w:t>
          </w:r>
          <w:r>
            <w:rPr>
              <w:rFonts w:asciiTheme="minorEastAsia" w:hAnsiTheme="minorEastAsia"/>
              <w:b/>
              <w:sz w:val="24"/>
              <w:szCs w:val="24"/>
            </w:rPr>
            <w:tab/>
          </w:r>
          <w:r>
            <w:rPr>
              <w:rFonts w:asciiTheme="minorEastAsia" w:hAnsiTheme="minorEastAsia"/>
              <w:b/>
              <w:sz w:val="24"/>
              <w:szCs w:val="24"/>
            </w:rPr>
            <w:fldChar w:fldCharType="begin"/>
          </w:r>
          <w:r>
            <w:rPr>
              <w:rFonts w:asciiTheme="minorEastAsia" w:hAnsiTheme="minorEastAsia"/>
              <w:b/>
              <w:sz w:val="24"/>
              <w:szCs w:val="24"/>
            </w:rPr>
            <w:instrText xml:space="preserve"> PAGEREF _Toc10468527 \h </w:instrText>
          </w:r>
          <w:r>
            <w:rPr>
              <w:rFonts w:asciiTheme="minorEastAsia" w:hAnsiTheme="minorEastAsia"/>
              <w:b/>
              <w:sz w:val="24"/>
              <w:szCs w:val="24"/>
            </w:rPr>
            <w:fldChar w:fldCharType="separate"/>
          </w:r>
          <w:r>
            <w:rPr>
              <w:rFonts w:asciiTheme="minorEastAsia" w:hAnsiTheme="minorEastAsia"/>
              <w:b/>
              <w:sz w:val="24"/>
              <w:szCs w:val="24"/>
            </w:rPr>
            <w:t>8</w:t>
          </w:r>
          <w:r>
            <w:rPr>
              <w:rFonts w:asciiTheme="minorEastAsia" w:hAnsiTheme="minorEastAsia"/>
              <w:b/>
              <w:sz w:val="24"/>
              <w:szCs w:val="24"/>
            </w:rPr>
            <w:fldChar w:fldCharType="end"/>
          </w:r>
          <w:r>
            <w:rPr>
              <w:rFonts w:asciiTheme="minorEastAsia" w:hAnsiTheme="minorEastAsia"/>
              <w:b/>
              <w:sz w:val="24"/>
              <w:szCs w:val="24"/>
            </w:rPr>
            <w:fldChar w:fldCharType="end"/>
          </w:r>
        </w:p>
        <w:p>
          <w:pPr>
            <w:pStyle w:val="12"/>
            <w:tabs>
              <w:tab w:val="right" w:leader="dot" w:pos="10011"/>
            </w:tabs>
            <w:spacing w:line="360" w:lineRule="auto"/>
            <w:rPr>
              <w:rFonts w:asciiTheme="minorEastAsia" w:hAnsiTheme="minorEastAsia"/>
              <w:b/>
              <w:kern w:val="2"/>
              <w:sz w:val="24"/>
              <w:szCs w:val="24"/>
            </w:rPr>
          </w:pPr>
          <w:r>
            <w:fldChar w:fldCharType="begin"/>
          </w:r>
          <w:r>
            <w:instrText xml:space="preserve"> HYPERLINK \l "_Toc10468528" </w:instrText>
          </w:r>
          <w:r>
            <w:fldChar w:fldCharType="separate"/>
          </w:r>
          <w:r>
            <w:rPr>
              <w:rStyle w:val="17"/>
              <w:rFonts w:asciiTheme="minorEastAsia" w:hAnsiTheme="minorEastAsia" w:cstheme="majorBidi"/>
              <w:b/>
              <w:sz w:val="24"/>
              <w:szCs w:val="24"/>
            </w:rPr>
            <w:t>4.5.</w:t>
          </w:r>
          <w:r>
            <w:rPr>
              <w:rStyle w:val="17"/>
              <w:rFonts w:hint="eastAsia" w:asciiTheme="minorEastAsia" w:hAnsiTheme="minorEastAsia" w:cstheme="majorBidi"/>
              <w:b/>
              <w:sz w:val="24"/>
              <w:szCs w:val="24"/>
            </w:rPr>
            <w:t>桩型选择及对环境影响评价</w:t>
          </w:r>
          <w:r>
            <w:rPr>
              <w:rFonts w:asciiTheme="minorEastAsia" w:hAnsiTheme="minorEastAsia"/>
              <w:b/>
              <w:sz w:val="24"/>
              <w:szCs w:val="24"/>
            </w:rPr>
            <w:tab/>
          </w:r>
          <w:r>
            <w:rPr>
              <w:rFonts w:asciiTheme="minorEastAsia" w:hAnsiTheme="minorEastAsia"/>
              <w:b/>
              <w:sz w:val="24"/>
              <w:szCs w:val="24"/>
            </w:rPr>
            <w:fldChar w:fldCharType="begin"/>
          </w:r>
          <w:r>
            <w:rPr>
              <w:rFonts w:asciiTheme="minorEastAsia" w:hAnsiTheme="minorEastAsia"/>
              <w:b/>
              <w:sz w:val="24"/>
              <w:szCs w:val="24"/>
            </w:rPr>
            <w:instrText xml:space="preserve"> PAGEREF _Toc10468528 \h </w:instrText>
          </w:r>
          <w:r>
            <w:rPr>
              <w:rFonts w:asciiTheme="minorEastAsia" w:hAnsiTheme="minorEastAsia"/>
              <w:b/>
              <w:sz w:val="24"/>
              <w:szCs w:val="24"/>
            </w:rPr>
            <w:fldChar w:fldCharType="separate"/>
          </w:r>
          <w:r>
            <w:rPr>
              <w:rFonts w:asciiTheme="minorEastAsia" w:hAnsiTheme="minorEastAsia"/>
              <w:b/>
              <w:sz w:val="24"/>
              <w:szCs w:val="24"/>
            </w:rPr>
            <w:t>9</w:t>
          </w:r>
          <w:r>
            <w:rPr>
              <w:rFonts w:asciiTheme="minorEastAsia" w:hAnsiTheme="minorEastAsia"/>
              <w:b/>
              <w:sz w:val="24"/>
              <w:szCs w:val="24"/>
            </w:rPr>
            <w:fldChar w:fldCharType="end"/>
          </w:r>
          <w:r>
            <w:rPr>
              <w:rFonts w:asciiTheme="minorEastAsia" w:hAnsiTheme="minorEastAsia"/>
              <w:b/>
              <w:sz w:val="24"/>
              <w:szCs w:val="24"/>
            </w:rPr>
            <w:fldChar w:fldCharType="end"/>
          </w:r>
        </w:p>
        <w:p>
          <w:pPr>
            <w:pStyle w:val="10"/>
            <w:tabs>
              <w:tab w:val="right" w:leader="dot" w:pos="10011"/>
            </w:tabs>
            <w:spacing w:line="360" w:lineRule="auto"/>
            <w:rPr>
              <w:rFonts w:asciiTheme="minorEastAsia" w:hAnsiTheme="minorEastAsia"/>
              <w:b/>
              <w:kern w:val="2"/>
              <w:sz w:val="24"/>
              <w:szCs w:val="24"/>
            </w:rPr>
          </w:pPr>
          <w:r>
            <w:fldChar w:fldCharType="begin"/>
          </w:r>
          <w:r>
            <w:instrText xml:space="preserve"> HYPERLINK \l "_Toc10468529" </w:instrText>
          </w:r>
          <w:r>
            <w:fldChar w:fldCharType="separate"/>
          </w:r>
          <w:r>
            <w:rPr>
              <w:rStyle w:val="17"/>
              <w:rFonts w:asciiTheme="minorEastAsia" w:hAnsiTheme="minorEastAsia"/>
              <w:b/>
              <w:sz w:val="24"/>
              <w:szCs w:val="24"/>
            </w:rPr>
            <w:t>5.</w:t>
          </w:r>
          <w:r>
            <w:rPr>
              <w:rStyle w:val="17"/>
              <w:rFonts w:hint="eastAsia" w:asciiTheme="minorEastAsia" w:hAnsiTheme="minorEastAsia"/>
              <w:b/>
              <w:sz w:val="24"/>
              <w:szCs w:val="24"/>
            </w:rPr>
            <w:t xml:space="preserve"> 地下水对工程的影响</w:t>
          </w:r>
          <w:r>
            <w:rPr>
              <w:rFonts w:asciiTheme="minorEastAsia" w:hAnsiTheme="minorEastAsia"/>
              <w:b/>
              <w:sz w:val="24"/>
              <w:szCs w:val="24"/>
            </w:rPr>
            <w:tab/>
          </w:r>
          <w:r>
            <w:rPr>
              <w:rFonts w:asciiTheme="minorEastAsia" w:hAnsiTheme="minorEastAsia"/>
              <w:b/>
              <w:sz w:val="24"/>
              <w:szCs w:val="24"/>
            </w:rPr>
            <w:fldChar w:fldCharType="begin"/>
          </w:r>
          <w:r>
            <w:rPr>
              <w:rFonts w:asciiTheme="minorEastAsia" w:hAnsiTheme="minorEastAsia"/>
              <w:b/>
              <w:sz w:val="24"/>
              <w:szCs w:val="24"/>
            </w:rPr>
            <w:instrText xml:space="preserve"> PAGEREF _Toc10468529 \h </w:instrText>
          </w:r>
          <w:r>
            <w:rPr>
              <w:rFonts w:asciiTheme="minorEastAsia" w:hAnsiTheme="minorEastAsia"/>
              <w:b/>
              <w:sz w:val="24"/>
              <w:szCs w:val="24"/>
            </w:rPr>
            <w:fldChar w:fldCharType="separate"/>
          </w:r>
          <w:r>
            <w:rPr>
              <w:rFonts w:asciiTheme="minorEastAsia" w:hAnsiTheme="minorEastAsia"/>
              <w:b/>
              <w:sz w:val="24"/>
              <w:szCs w:val="24"/>
            </w:rPr>
            <w:t>9</w:t>
          </w:r>
          <w:r>
            <w:rPr>
              <w:rFonts w:asciiTheme="minorEastAsia" w:hAnsiTheme="minorEastAsia"/>
              <w:b/>
              <w:sz w:val="24"/>
              <w:szCs w:val="24"/>
            </w:rPr>
            <w:fldChar w:fldCharType="end"/>
          </w:r>
          <w:r>
            <w:rPr>
              <w:rFonts w:asciiTheme="minorEastAsia" w:hAnsiTheme="minorEastAsia"/>
              <w:b/>
              <w:sz w:val="24"/>
              <w:szCs w:val="24"/>
            </w:rPr>
            <w:fldChar w:fldCharType="end"/>
          </w:r>
        </w:p>
        <w:p>
          <w:pPr>
            <w:pStyle w:val="12"/>
            <w:tabs>
              <w:tab w:val="right" w:leader="dot" w:pos="10011"/>
            </w:tabs>
            <w:spacing w:line="360" w:lineRule="auto"/>
            <w:rPr>
              <w:rFonts w:asciiTheme="minorEastAsia" w:hAnsiTheme="minorEastAsia"/>
              <w:b/>
              <w:kern w:val="2"/>
              <w:sz w:val="24"/>
              <w:szCs w:val="24"/>
            </w:rPr>
          </w:pPr>
          <w:r>
            <w:fldChar w:fldCharType="begin"/>
          </w:r>
          <w:r>
            <w:instrText xml:space="preserve"> HYPERLINK \l "_Toc10468530" </w:instrText>
          </w:r>
          <w:r>
            <w:fldChar w:fldCharType="separate"/>
          </w:r>
          <w:r>
            <w:rPr>
              <w:rStyle w:val="17"/>
              <w:rFonts w:asciiTheme="minorEastAsia" w:hAnsiTheme="minorEastAsia"/>
              <w:b/>
              <w:sz w:val="24"/>
              <w:szCs w:val="24"/>
            </w:rPr>
            <w:t>5.1.</w:t>
          </w:r>
          <w:r>
            <w:rPr>
              <w:rStyle w:val="17"/>
              <w:rFonts w:hint="eastAsia" w:asciiTheme="minorEastAsia" w:hAnsiTheme="minorEastAsia" w:cstheme="majorBidi"/>
              <w:b/>
              <w:sz w:val="24"/>
              <w:szCs w:val="24"/>
            </w:rPr>
            <w:t xml:space="preserve"> 地下水与土的腐蚀性评价</w:t>
          </w:r>
          <w:r>
            <w:rPr>
              <w:rFonts w:asciiTheme="minorEastAsia" w:hAnsiTheme="minorEastAsia"/>
              <w:b/>
              <w:sz w:val="24"/>
              <w:szCs w:val="24"/>
            </w:rPr>
            <w:tab/>
          </w:r>
          <w:r>
            <w:rPr>
              <w:rFonts w:asciiTheme="minorEastAsia" w:hAnsiTheme="minorEastAsia"/>
              <w:b/>
              <w:sz w:val="24"/>
              <w:szCs w:val="24"/>
            </w:rPr>
            <w:fldChar w:fldCharType="begin"/>
          </w:r>
          <w:r>
            <w:rPr>
              <w:rFonts w:asciiTheme="minorEastAsia" w:hAnsiTheme="minorEastAsia"/>
              <w:b/>
              <w:sz w:val="24"/>
              <w:szCs w:val="24"/>
            </w:rPr>
            <w:instrText xml:space="preserve"> PAGEREF _Toc10468530 \h </w:instrText>
          </w:r>
          <w:r>
            <w:rPr>
              <w:rFonts w:asciiTheme="minorEastAsia" w:hAnsiTheme="minorEastAsia"/>
              <w:b/>
              <w:sz w:val="24"/>
              <w:szCs w:val="24"/>
            </w:rPr>
            <w:fldChar w:fldCharType="separate"/>
          </w:r>
          <w:r>
            <w:rPr>
              <w:rFonts w:asciiTheme="minorEastAsia" w:hAnsiTheme="minorEastAsia"/>
              <w:b/>
              <w:sz w:val="24"/>
              <w:szCs w:val="24"/>
            </w:rPr>
            <w:t>9</w:t>
          </w:r>
          <w:r>
            <w:rPr>
              <w:rFonts w:asciiTheme="minorEastAsia" w:hAnsiTheme="minorEastAsia"/>
              <w:b/>
              <w:sz w:val="24"/>
              <w:szCs w:val="24"/>
            </w:rPr>
            <w:fldChar w:fldCharType="end"/>
          </w:r>
          <w:r>
            <w:rPr>
              <w:rFonts w:asciiTheme="minorEastAsia" w:hAnsiTheme="minorEastAsia"/>
              <w:b/>
              <w:sz w:val="24"/>
              <w:szCs w:val="24"/>
            </w:rPr>
            <w:fldChar w:fldCharType="end"/>
          </w:r>
        </w:p>
        <w:p>
          <w:pPr>
            <w:pStyle w:val="12"/>
            <w:tabs>
              <w:tab w:val="right" w:leader="dot" w:pos="10011"/>
            </w:tabs>
            <w:spacing w:line="360" w:lineRule="auto"/>
            <w:rPr>
              <w:rFonts w:asciiTheme="minorEastAsia" w:hAnsiTheme="minorEastAsia"/>
              <w:b/>
              <w:kern w:val="2"/>
              <w:sz w:val="24"/>
              <w:szCs w:val="24"/>
            </w:rPr>
          </w:pPr>
          <w:r>
            <w:fldChar w:fldCharType="begin"/>
          </w:r>
          <w:r>
            <w:instrText xml:space="preserve"> HYPERLINK \l "_Toc10468531" </w:instrText>
          </w:r>
          <w:r>
            <w:fldChar w:fldCharType="separate"/>
          </w:r>
          <w:r>
            <w:rPr>
              <w:rStyle w:val="17"/>
              <w:rFonts w:asciiTheme="minorEastAsia" w:hAnsiTheme="minorEastAsia"/>
              <w:b/>
              <w:sz w:val="24"/>
              <w:szCs w:val="24"/>
            </w:rPr>
            <w:t>5.2.</w:t>
          </w:r>
          <w:r>
            <w:rPr>
              <w:rStyle w:val="17"/>
              <w:rFonts w:hint="eastAsia" w:asciiTheme="minorEastAsia" w:hAnsiTheme="minorEastAsia" w:cstheme="majorBidi"/>
              <w:b/>
              <w:sz w:val="24"/>
              <w:szCs w:val="24"/>
            </w:rPr>
            <w:t xml:space="preserve"> 地下水对基础的影响</w:t>
          </w:r>
          <w:r>
            <w:rPr>
              <w:rFonts w:asciiTheme="minorEastAsia" w:hAnsiTheme="minorEastAsia"/>
              <w:b/>
              <w:sz w:val="24"/>
              <w:szCs w:val="24"/>
            </w:rPr>
            <w:tab/>
          </w:r>
          <w:r>
            <w:rPr>
              <w:rFonts w:asciiTheme="minorEastAsia" w:hAnsiTheme="minorEastAsia"/>
              <w:b/>
              <w:sz w:val="24"/>
              <w:szCs w:val="24"/>
            </w:rPr>
            <w:fldChar w:fldCharType="begin"/>
          </w:r>
          <w:r>
            <w:rPr>
              <w:rFonts w:asciiTheme="minorEastAsia" w:hAnsiTheme="minorEastAsia"/>
              <w:b/>
              <w:sz w:val="24"/>
              <w:szCs w:val="24"/>
            </w:rPr>
            <w:instrText xml:space="preserve"> PAGEREF _Toc10468531 \h </w:instrText>
          </w:r>
          <w:r>
            <w:rPr>
              <w:rFonts w:asciiTheme="minorEastAsia" w:hAnsiTheme="minorEastAsia"/>
              <w:b/>
              <w:sz w:val="24"/>
              <w:szCs w:val="24"/>
            </w:rPr>
            <w:fldChar w:fldCharType="separate"/>
          </w:r>
          <w:r>
            <w:rPr>
              <w:rFonts w:asciiTheme="minorEastAsia" w:hAnsiTheme="minorEastAsia"/>
              <w:b/>
              <w:sz w:val="24"/>
              <w:szCs w:val="24"/>
            </w:rPr>
            <w:t>9</w:t>
          </w:r>
          <w:r>
            <w:rPr>
              <w:rFonts w:asciiTheme="minorEastAsia" w:hAnsiTheme="minorEastAsia"/>
              <w:b/>
              <w:sz w:val="24"/>
              <w:szCs w:val="24"/>
            </w:rPr>
            <w:fldChar w:fldCharType="end"/>
          </w:r>
          <w:r>
            <w:rPr>
              <w:rFonts w:asciiTheme="minorEastAsia" w:hAnsiTheme="minorEastAsia"/>
              <w:b/>
              <w:sz w:val="24"/>
              <w:szCs w:val="24"/>
            </w:rPr>
            <w:fldChar w:fldCharType="end"/>
          </w:r>
        </w:p>
        <w:p>
          <w:pPr>
            <w:pStyle w:val="12"/>
            <w:tabs>
              <w:tab w:val="right" w:leader="dot" w:pos="10011"/>
            </w:tabs>
            <w:spacing w:line="360" w:lineRule="auto"/>
            <w:rPr>
              <w:rFonts w:asciiTheme="minorEastAsia" w:hAnsiTheme="minorEastAsia"/>
              <w:b/>
              <w:kern w:val="2"/>
              <w:sz w:val="24"/>
              <w:szCs w:val="24"/>
            </w:rPr>
          </w:pPr>
          <w:r>
            <w:fldChar w:fldCharType="begin"/>
          </w:r>
          <w:r>
            <w:instrText xml:space="preserve"> HYPERLINK \l "_Toc10468532" </w:instrText>
          </w:r>
          <w:r>
            <w:fldChar w:fldCharType="separate"/>
          </w:r>
          <w:r>
            <w:rPr>
              <w:rStyle w:val="17"/>
              <w:rFonts w:asciiTheme="minorEastAsia" w:hAnsiTheme="minorEastAsia"/>
              <w:b/>
              <w:sz w:val="24"/>
              <w:szCs w:val="24"/>
            </w:rPr>
            <w:t>5.3.</w:t>
          </w:r>
          <w:r>
            <w:rPr>
              <w:rStyle w:val="17"/>
              <w:rFonts w:hint="eastAsia" w:asciiTheme="minorEastAsia" w:hAnsiTheme="minorEastAsia" w:cstheme="majorBidi"/>
              <w:b/>
              <w:sz w:val="24"/>
              <w:szCs w:val="24"/>
            </w:rPr>
            <w:t xml:space="preserve"> 抗浮水位</w:t>
          </w:r>
          <w:r>
            <w:rPr>
              <w:rFonts w:asciiTheme="minorEastAsia" w:hAnsiTheme="minorEastAsia"/>
              <w:b/>
              <w:sz w:val="24"/>
              <w:szCs w:val="24"/>
            </w:rPr>
            <w:tab/>
          </w:r>
          <w:r>
            <w:rPr>
              <w:rFonts w:asciiTheme="minorEastAsia" w:hAnsiTheme="minorEastAsia"/>
              <w:b/>
              <w:sz w:val="24"/>
              <w:szCs w:val="24"/>
            </w:rPr>
            <w:fldChar w:fldCharType="begin"/>
          </w:r>
          <w:r>
            <w:rPr>
              <w:rFonts w:asciiTheme="minorEastAsia" w:hAnsiTheme="minorEastAsia"/>
              <w:b/>
              <w:sz w:val="24"/>
              <w:szCs w:val="24"/>
            </w:rPr>
            <w:instrText xml:space="preserve"> PAGEREF _Toc10468532 \h </w:instrText>
          </w:r>
          <w:r>
            <w:rPr>
              <w:rFonts w:asciiTheme="minorEastAsia" w:hAnsiTheme="minorEastAsia"/>
              <w:b/>
              <w:sz w:val="24"/>
              <w:szCs w:val="24"/>
            </w:rPr>
            <w:fldChar w:fldCharType="separate"/>
          </w:r>
          <w:r>
            <w:rPr>
              <w:rFonts w:asciiTheme="minorEastAsia" w:hAnsiTheme="minorEastAsia"/>
              <w:b/>
              <w:sz w:val="24"/>
              <w:szCs w:val="24"/>
            </w:rPr>
            <w:t>10</w:t>
          </w:r>
          <w:r>
            <w:rPr>
              <w:rFonts w:asciiTheme="minorEastAsia" w:hAnsiTheme="minorEastAsia"/>
              <w:b/>
              <w:sz w:val="24"/>
              <w:szCs w:val="24"/>
            </w:rPr>
            <w:fldChar w:fldCharType="end"/>
          </w:r>
          <w:r>
            <w:rPr>
              <w:rFonts w:asciiTheme="minorEastAsia" w:hAnsiTheme="minorEastAsia"/>
              <w:b/>
              <w:sz w:val="24"/>
              <w:szCs w:val="24"/>
            </w:rPr>
            <w:fldChar w:fldCharType="end"/>
          </w:r>
        </w:p>
        <w:p>
          <w:pPr>
            <w:pStyle w:val="12"/>
            <w:tabs>
              <w:tab w:val="right" w:leader="dot" w:pos="10011"/>
            </w:tabs>
            <w:spacing w:line="360" w:lineRule="auto"/>
            <w:rPr>
              <w:rFonts w:asciiTheme="minorEastAsia" w:hAnsiTheme="minorEastAsia"/>
              <w:b/>
              <w:kern w:val="2"/>
              <w:sz w:val="24"/>
              <w:szCs w:val="24"/>
            </w:rPr>
          </w:pPr>
          <w:r>
            <w:fldChar w:fldCharType="begin"/>
          </w:r>
          <w:r>
            <w:instrText xml:space="preserve"> HYPERLINK \l "_Toc10468533" </w:instrText>
          </w:r>
          <w:r>
            <w:fldChar w:fldCharType="separate"/>
          </w:r>
          <w:r>
            <w:rPr>
              <w:rStyle w:val="17"/>
              <w:rFonts w:asciiTheme="minorEastAsia" w:hAnsiTheme="minorEastAsia"/>
              <w:b/>
              <w:sz w:val="24"/>
              <w:szCs w:val="24"/>
            </w:rPr>
            <w:t>5.4.</w:t>
          </w:r>
          <w:r>
            <w:rPr>
              <w:rStyle w:val="17"/>
              <w:rFonts w:hint="eastAsia" w:asciiTheme="minorEastAsia" w:hAnsiTheme="minorEastAsia" w:cstheme="majorBidi"/>
              <w:b/>
              <w:sz w:val="24"/>
              <w:szCs w:val="24"/>
            </w:rPr>
            <w:t xml:space="preserve"> 抗浮措施</w:t>
          </w:r>
          <w:r>
            <w:rPr>
              <w:rFonts w:asciiTheme="minorEastAsia" w:hAnsiTheme="minorEastAsia"/>
              <w:b/>
              <w:sz w:val="24"/>
              <w:szCs w:val="24"/>
            </w:rPr>
            <w:tab/>
          </w:r>
          <w:r>
            <w:rPr>
              <w:rFonts w:asciiTheme="minorEastAsia" w:hAnsiTheme="minorEastAsia"/>
              <w:b/>
              <w:sz w:val="24"/>
              <w:szCs w:val="24"/>
            </w:rPr>
            <w:fldChar w:fldCharType="begin"/>
          </w:r>
          <w:r>
            <w:rPr>
              <w:rFonts w:asciiTheme="minorEastAsia" w:hAnsiTheme="minorEastAsia"/>
              <w:b/>
              <w:sz w:val="24"/>
              <w:szCs w:val="24"/>
            </w:rPr>
            <w:instrText xml:space="preserve"> PAGEREF _Toc10468533 \h </w:instrText>
          </w:r>
          <w:r>
            <w:rPr>
              <w:rFonts w:asciiTheme="minorEastAsia" w:hAnsiTheme="minorEastAsia"/>
              <w:b/>
              <w:sz w:val="24"/>
              <w:szCs w:val="24"/>
            </w:rPr>
            <w:fldChar w:fldCharType="separate"/>
          </w:r>
          <w:r>
            <w:rPr>
              <w:rFonts w:asciiTheme="minorEastAsia" w:hAnsiTheme="minorEastAsia"/>
              <w:b/>
              <w:sz w:val="24"/>
              <w:szCs w:val="24"/>
            </w:rPr>
            <w:t>10</w:t>
          </w:r>
          <w:r>
            <w:rPr>
              <w:rFonts w:asciiTheme="minorEastAsia" w:hAnsiTheme="minorEastAsia"/>
              <w:b/>
              <w:sz w:val="24"/>
              <w:szCs w:val="24"/>
            </w:rPr>
            <w:fldChar w:fldCharType="end"/>
          </w:r>
          <w:r>
            <w:rPr>
              <w:rFonts w:asciiTheme="minorEastAsia" w:hAnsiTheme="minorEastAsia"/>
              <w:b/>
              <w:sz w:val="24"/>
              <w:szCs w:val="24"/>
            </w:rPr>
            <w:fldChar w:fldCharType="end"/>
          </w:r>
        </w:p>
        <w:p>
          <w:pPr>
            <w:pStyle w:val="10"/>
            <w:tabs>
              <w:tab w:val="right" w:leader="dot" w:pos="10011"/>
            </w:tabs>
            <w:spacing w:line="360" w:lineRule="auto"/>
            <w:rPr>
              <w:rFonts w:asciiTheme="minorEastAsia" w:hAnsiTheme="minorEastAsia"/>
              <w:b/>
              <w:kern w:val="2"/>
              <w:sz w:val="24"/>
              <w:szCs w:val="24"/>
            </w:rPr>
          </w:pPr>
          <w:r>
            <w:fldChar w:fldCharType="begin"/>
          </w:r>
          <w:r>
            <w:instrText xml:space="preserve"> HYPERLINK \l "_Toc10468534" </w:instrText>
          </w:r>
          <w:r>
            <w:fldChar w:fldCharType="separate"/>
          </w:r>
          <w:r>
            <w:rPr>
              <w:rStyle w:val="17"/>
              <w:rFonts w:asciiTheme="minorEastAsia" w:hAnsiTheme="minorEastAsia"/>
              <w:b/>
              <w:sz w:val="24"/>
              <w:szCs w:val="24"/>
            </w:rPr>
            <w:t>6.</w:t>
          </w:r>
          <w:r>
            <w:rPr>
              <w:rStyle w:val="17"/>
              <w:rFonts w:hint="eastAsia" w:asciiTheme="minorEastAsia" w:hAnsiTheme="minorEastAsia"/>
              <w:b/>
              <w:sz w:val="24"/>
              <w:szCs w:val="24"/>
            </w:rPr>
            <w:t xml:space="preserve"> 基坑边坡稳定性评价</w:t>
          </w:r>
          <w:r>
            <w:rPr>
              <w:rFonts w:asciiTheme="minorEastAsia" w:hAnsiTheme="minorEastAsia"/>
              <w:b/>
              <w:sz w:val="24"/>
              <w:szCs w:val="24"/>
            </w:rPr>
            <w:tab/>
          </w:r>
          <w:r>
            <w:rPr>
              <w:rFonts w:asciiTheme="minorEastAsia" w:hAnsiTheme="minorEastAsia"/>
              <w:b/>
              <w:sz w:val="24"/>
              <w:szCs w:val="24"/>
            </w:rPr>
            <w:fldChar w:fldCharType="begin"/>
          </w:r>
          <w:r>
            <w:rPr>
              <w:rFonts w:asciiTheme="minorEastAsia" w:hAnsiTheme="minorEastAsia"/>
              <w:b/>
              <w:sz w:val="24"/>
              <w:szCs w:val="24"/>
            </w:rPr>
            <w:instrText xml:space="preserve"> PAGEREF _Toc10468534 \h </w:instrText>
          </w:r>
          <w:r>
            <w:rPr>
              <w:rFonts w:asciiTheme="minorEastAsia" w:hAnsiTheme="minorEastAsia"/>
              <w:b/>
              <w:sz w:val="24"/>
              <w:szCs w:val="24"/>
            </w:rPr>
            <w:fldChar w:fldCharType="separate"/>
          </w:r>
          <w:r>
            <w:rPr>
              <w:rFonts w:asciiTheme="minorEastAsia" w:hAnsiTheme="minorEastAsia"/>
              <w:b/>
              <w:sz w:val="24"/>
              <w:szCs w:val="24"/>
            </w:rPr>
            <w:t>10</w:t>
          </w:r>
          <w:r>
            <w:rPr>
              <w:rFonts w:asciiTheme="minorEastAsia" w:hAnsiTheme="minorEastAsia"/>
              <w:b/>
              <w:sz w:val="24"/>
              <w:szCs w:val="24"/>
            </w:rPr>
            <w:fldChar w:fldCharType="end"/>
          </w:r>
          <w:r>
            <w:rPr>
              <w:rFonts w:asciiTheme="minorEastAsia" w:hAnsiTheme="minorEastAsia"/>
              <w:b/>
              <w:sz w:val="24"/>
              <w:szCs w:val="24"/>
            </w:rPr>
            <w:fldChar w:fldCharType="end"/>
          </w:r>
        </w:p>
        <w:p>
          <w:pPr>
            <w:pStyle w:val="10"/>
            <w:tabs>
              <w:tab w:val="right" w:leader="dot" w:pos="10011"/>
            </w:tabs>
            <w:spacing w:line="360" w:lineRule="auto"/>
            <w:rPr>
              <w:rFonts w:asciiTheme="minorEastAsia" w:hAnsiTheme="minorEastAsia"/>
              <w:b/>
              <w:kern w:val="2"/>
              <w:sz w:val="24"/>
              <w:szCs w:val="24"/>
            </w:rPr>
          </w:pPr>
          <w:r>
            <w:fldChar w:fldCharType="begin"/>
          </w:r>
          <w:r>
            <w:instrText xml:space="preserve"> HYPERLINK \l "_Toc10468535" </w:instrText>
          </w:r>
          <w:r>
            <w:fldChar w:fldCharType="separate"/>
          </w:r>
          <w:r>
            <w:rPr>
              <w:rStyle w:val="17"/>
              <w:rFonts w:asciiTheme="minorEastAsia" w:hAnsiTheme="minorEastAsia"/>
              <w:b/>
              <w:sz w:val="24"/>
              <w:szCs w:val="24"/>
            </w:rPr>
            <w:t>7.</w:t>
          </w:r>
          <w:r>
            <w:rPr>
              <w:rStyle w:val="17"/>
              <w:rFonts w:hint="eastAsia" w:asciiTheme="minorEastAsia" w:hAnsiTheme="minorEastAsia"/>
              <w:b/>
              <w:sz w:val="24"/>
              <w:szCs w:val="24"/>
            </w:rPr>
            <w:t xml:space="preserve"> 其他相关问题及建议</w:t>
          </w:r>
          <w:r>
            <w:rPr>
              <w:rFonts w:asciiTheme="minorEastAsia" w:hAnsiTheme="minorEastAsia"/>
              <w:b/>
              <w:sz w:val="24"/>
              <w:szCs w:val="24"/>
            </w:rPr>
            <w:tab/>
          </w:r>
          <w:r>
            <w:rPr>
              <w:rFonts w:asciiTheme="minorEastAsia" w:hAnsiTheme="minorEastAsia"/>
              <w:b/>
              <w:sz w:val="24"/>
              <w:szCs w:val="24"/>
            </w:rPr>
            <w:fldChar w:fldCharType="begin"/>
          </w:r>
          <w:r>
            <w:rPr>
              <w:rFonts w:asciiTheme="minorEastAsia" w:hAnsiTheme="minorEastAsia"/>
              <w:b/>
              <w:sz w:val="24"/>
              <w:szCs w:val="24"/>
            </w:rPr>
            <w:instrText xml:space="preserve"> PAGEREF _Toc10468535 \h </w:instrText>
          </w:r>
          <w:r>
            <w:rPr>
              <w:rFonts w:asciiTheme="minorEastAsia" w:hAnsiTheme="minorEastAsia"/>
              <w:b/>
              <w:sz w:val="24"/>
              <w:szCs w:val="24"/>
            </w:rPr>
            <w:fldChar w:fldCharType="separate"/>
          </w:r>
          <w:r>
            <w:rPr>
              <w:rFonts w:asciiTheme="minorEastAsia" w:hAnsiTheme="minorEastAsia"/>
              <w:b/>
              <w:sz w:val="24"/>
              <w:szCs w:val="24"/>
            </w:rPr>
            <w:t>11</w:t>
          </w:r>
          <w:r>
            <w:rPr>
              <w:rFonts w:asciiTheme="minorEastAsia" w:hAnsiTheme="minorEastAsia"/>
              <w:b/>
              <w:sz w:val="24"/>
              <w:szCs w:val="24"/>
            </w:rPr>
            <w:fldChar w:fldCharType="end"/>
          </w:r>
          <w:r>
            <w:rPr>
              <w:rFonts w:asciiTheme="minorEastAsia" w:hAnsiTheme="minorEastAsia"/>
              <w:b/>
              <w:sz w:val="24"/>
              <w:szCs w:val="24"/>
            </w:rPr>
            <w:fldChar w:fldCharType="end"/>
          </w:r>
        </w:p>
        <w:p>
          <w:pPr>
            <w:spacing w:line="360" w:lineRule="auto"/>
            <w:rPr>
              <w:rFonts w:asciiTheme="minorEastAsia" w:hAnsiTheme="minorEastAsia" w:eastAsiaTheme="minorEastAsia"/>
              <w:b/>
              <w:bCs/>
              <w:sz w:val="24"/>
              <w:lang w:val="zh-CN"/>
            </w:rPr>
          </w:pPr>
          <w:r>
            <w:rPr>
              <w:rFonts w:asciiTheme="minorEastAsia" w:hAnsiTheme="minorEastAsia" w:eastAsiaTheme="minorEastAsia"/>
              <w:b/>
              <w:bCs/>
              <w:sz w:val="24"/>
              <w:lang w:val="zh-CN"/>
            </w:rPr>
            <w:fldChar w:fldCharType="end"/>
          </w:r>
        </w:p>
        <w:p>
          <w:pPr>
            <w:spacing w:line="360" w:lineRule="auto"/>
            <w:rPr>
              <w:rFonts w:asciiTheme="minorEastAsia" w:hAnsiTheme="minorEastAsia" w:eastAsiaTheme="minorEastAsia"/>
              <w:b/>
              <w:bCs/>
              <w:sz w:val="24"/>
              <w:lang w:val="zh-CN"/>
            </w:rPr>
          </w:pPr>
        </w:p>
        <w:p>
          <w:pPr>
            <w:spacing w:line="360" w:lineRule="auto"/>
            <w:rPr>
              <w:rFonts w:asciiTheme="minorEastAsia" w:hAnsiTheme="minorEastAsia" w:eastAsiaTheme="minorEastAsia"/>
              <w:b/>
              <w:bCs/>
              <w:sz w:val="24"/>
              <w:lang w:val="zh-CN"/>
            </w:rPr>
          </w:pPr>
        </w:p>
        <w:p>
          <w:pPr>
            <w:spacing w:line="360" w:lineRule="auto"/>
            <w:rPr>
              <w:rFonts w:asciiTheme="minorEastAsia" w:hAnsiTheme="minorEastAsia" w:eastAsiaTheme="minorEastAsia"/>
              <w:b/>
              <w:bCs/>
              <w:sz w:val="24"/>
              <w:lang w:val="zh-CN"/>
            </w:rPr>
          </w:pPr>
        </w:p>
        <w:p>
          <w:pPr>
            <w:spacing w:line="360" w:lineRule="auto"/>
            <w:rPr>
              <w:rFonts w:eastAsiaTheme="minorEastAsia"/>
              <w:b/>
              <w:sz w:val="24"/>
              <w:lang w:val="zh-CN"/>
            </w:rPr>
          </w:pPr>
          <w:r>
            <w:rPr>
              <w:rFonts w:eastAsiaTheme="minorEastAsia"/>
              <w:b/>
              <w:sz w:val="24"/>
              <w:lang w:val="zh-CN"/>
            </w:rPr>
            <w:t>图表部分</w:t>
          </w:r>
        </w:p>
        <w:p>
          <w:pPr>
            <w:pStyle w:val="10"/>
            <w:tabs>
              <w:tab w:val="right" w:leader="dot" w:pos="10011"/>
            </w:tabs>
            <w:spacing w:line="360" w:lineRule="auto"/>
            <w:rPr>
              <w:rStyle w:val="17"/>
              <w:rFonts w:asciiTheme="minorEastAsia" w:hAnsiTheme="minorEastAsia"/>
              <w:b/>
              <w:color w:val="auto"/>
              <w:sz w:val="24"/>
              <w:szCs w:val="24"/>
              <w:u w:val="none"/>
            </w:rPr>
          </w:pPr>
          <w:r>
            <w:rPr>
              <w:rStyle w:val="17"/>
              <w:rFonts w:hint="eastAsia" w:asciiTheme="minorEastAsia" w:hAnsiTheme="minorEastAsia"/>
              <w:b/>
              <w:color w:val="auto"/>
              <w:sz w:val="24"/>
              <w:szCs w:val="24"/>
              <w:u w:val="none"/>
            </w:rPr>
            <w:t>1.岩土物理力学指标统计表</w:t>
          </w:r>
          <w:r>
            <w:rPr>
              <w:rStyle w:val="17"/>
              <w:rFonts w:hint="eastAsia" w:asciiTheme="minorEastAsia" w:hAnsiTheme="minorEastAsia"/>
              <w:b/>
              <w:color w:val="auto"/>
              <w:sz w:val="24"/>
              <w:szCs w:val="24"/>
              <w:u w:val="none"/>
            </w:rPr>
            <w:tab/>
          </w:r>
          <w:r>
            <w:rPr>
              <w:rStyle w:val="17"/>
              <w:rFonts w:hint="eastAsia" w:asciiTheme="minorEastAsia" w:hAnsiTheme="minorEastAsia"/>
              <w:b/>
              <w:color w:val="auto"/>
              <w:sz w:val="24"/>
              <w:szCs w:val="24"/>
              <w:u w:val="none"/>
            </w:rPr>
            <w:t>共2</w:t>
          </w:r>
          <w:r>
            <w:rPr>
              <w:rStyle w:val="17"/>
              <w:rFonts w:asciiTheme="minorEastAsia" w:hAnsiTheme="minorEastAsia"/>
              <w:b/>
              <w:color w:val="auto"/>
              <w:sz w:val="24"/>
              <w:szCs w:val="24"/>
              <w:u w:val="none"/>
            </w:rPr>
            <w:t>页</w:t>
          </w:r>
        </w:p>
        <w:p>
          <w:pPr>
            <w:pStyle w:val="10"/>
            <w:tabs>
              <w:tab w:val="right" w:leader="dot" w:pos="10011"/>
            </w:tabs>
            <w:spacing w:line="360" w:lineRule="auto"/>
            <w:rPr>
              <w:rStyle w:val="17"/>
              <w:rFonts w:asciiTheme="minorEastAsia" w:hAnsiTheme="minorEastAsia"/>
              <w:b/>
              <w:color w:val="auto"/>
              <w:sz w:val="24"/>
              <w:szCs w:val="24"/>
              <w:u w:val="none"/>
            </w:rPr>
          </w:pPr>
          <w:r>
            <w:rPr>
              <w:rStyle w:val="17"/>
              <w:rFonts w:hint="eastAsia" w:asciiTheme="minorEastAsia" w:hAnsiTheme="minorEastAsia"/>
              <w:b/>
              <w:color w:val="auto"/>
              <w:sz w:val="24"/>
              <w:szCs w:val="24"/>
              <w:u w:val="none"/>
            </w:rPr>
            <w:t>2.土工试验成果</w:t>
          </w:r>
          <w:r>
            <w:rPr>
              <w:rStyle w:val="17"/>
              <w:rFonts w:asciiTheme="minorEastAsia" w:hAnsiTheme="minorEastAsia"/>
              <w:b/>
              <w:color w:val="auto"/>
              <w:sz w:val="24"/>
              <w:szCs w:val="24"/>
              <w:u w:val="none"/>
            </w:rPr>
            <w:t>表</w:t>
          </w:r>
          <w:r>
            <w:rPr>
              <w:rStyle w:val="17"/>
              <w:rFonts w:hint="eastAsia" w:asciiTheme="minorEastAsia" w:hAnsiTheme="minorEastAsia"/>
              <w:b/>
              <w:color w:val="auto"/>
              <w:sz w:val="24"/>
              <w:szCs w:val="24"/>
              <w:u w:val="none"/>
            </w:rPr>
            <w:tab/>
          </w:r>
          <w:r>
            <w:rPr>
              <w:rStyle w:val="17"/>
              <w:rFonts w:hint="eastAsia" w:asciiTheme="minorEastAsia" w:hAnsiTheme="minorEastAsia"/>
              <w:b/>
              <w:color w:val="auto"/>
              <w:sz w:val="24"/>
              <w:szCs w:val="24"/>
              <w:u w:val="none"/>
            </w:rPr>
            <w:t>共</w:t>
          </w:r>
          <w:r>
            <w:rPr>
              <w:rStyle w:val="17"/>
              <w:rFonts w:hint="eastAsia" w:asciiTheme="minorEastAsia" w:hAnsiTheme="minorEastAsia"/>
              <w:b/>
              <w:color w:val="auto"/>
              <w:sz w:val="24"/>
              <w:szCs w:val="24"/>
              <w:u w:val="none"/>
              <w:lang w:val="en-US" w:eastAsia="zh-CN"/>
            </w:rPr>
            <w:t>47</w:t>
          </w:r>
          <w:r>
            <w:rPr>
              <w:rStyle w:val="17"/>
              <w:rFonts w:asciiTheme="minorEastAsia" w:hAnsiTheme="minorEastAsia"/>
              <w:b/>
              <w:color w:val="auto"/>
              <w:sz w:val="24"/>
              <w:szCs w:val="24"/>
              <w:u w:val="none"/>
            </w:rPr>
            <w:t>页</w:t>
          </w:r>
        </w:p>
        <w:p>
          <w:pPr>
            <w:pStyle w:val="10"/>
            <w:tabs>
              <w:tab w:val="right" w:leader="dot" w:pos="10011"/>
            </w:tabs>
            <w:spacing w:line="360" w:lineRule="auto"/>
            <w:rPr>
              <w:rStyle w:val="17"/>
              <w:rFonts w:asciiTheme="minorEastAsia" w:hAnsiTheme="minorEastAsia"/>
              <w:b/>
              <w:color w:val="auto"/>
              <w:sz w:val="24"/>
              <w:szCs w:val="24"/>
              <w:u w:val="none"/>
            </w:rPr>
          </w:pPr>
          <w:r>
            <w:rPr>
              <w:rStyle w:val="17"/>
              <w:rFonts w:hint="eastAsia" w:asciiTheme="minorEastAsia" w:hAnsiTheme="minorEastAsia"/>
              <w:b/>
              <w:color w:val="auto"/>
              <w:sz w:val="24"/>
              <w:szCs w:val="24"/>
              <w:u w:val="none"/>
            </w:rPr>
            <w:t>3.场地剪切波速测试成果表</w:t>
          </w:r>
          <w:r>
            <w:rPr>
              <w:rStyle w:val="17"/>
              <w:rFonts w:hint="eastAsia" w:asciiTheme="minorEastAsia" w:hAnsiTheme="minorEastAsia"/>
              <w:b/>
              <w:color w:val="auto"/>
              <w:sz w:val="24"/>
              <w:szCs w:val="24"/>
              <w:u w:val="none"/>
            </w:rPr>
            <w:tab/>
          </w:r>
          <w:r>
            <w:rPr>
              <w:rStyle w:val="17"/>
              <w:rFonts w:hint="eastAsia" w:asciiTheme="minorEastAsia" w:hAnsiTheme="minorEastAsia"/>
              <w:b/>
              <w:color w:val="auto"/>
              <w:sz w:val="24"/>
              <w:szCs w:val="24"/>
              <w:u w:val="none"/>
            </w:rPr>
            <w:t>共</w:t>
          </w:r>
          <w:r>
            <w:rPr>
              <w:rStyle w:val="17"/>
              <w:rFonts w:hint="eastAsia" w:asciiTheme="minorEastAsia" w:hAnsiTheme="minorEastAsia"/>
              <w:b/>
              <w:color w:val="auto"/>
              <w:sz w:val="24"/>
              <w:szCs w:val="24"/>
              <w:u w:val="none"/>
              <w:lang w:val="en-US" w:eastAsia="zh-CN"/>
            </w:rPr>
            <w:t>8</w:t>
          </w:r>
          <w:r>
            <w:rPr>
              <w:rStyle w:val="17"/>
              <w:rFonts w:asciiTheme="minorEastAsia" w:hAnsiTheme="minorEastAsia"/>
              <w:b/>
              <w:color w:val="auto"/>
              <w:sz w:val="24"/>
              <w:szCs w:val="24"/>
              <w:u w:val="none"/>
            </w:rPr>
            <w:t>页</w:t>
          </w:r>
        </w:p>
        <w:p>
          <w:pPr>
            <w:pStyle w:val="10"/>
            <w:tabs>
              <w:tab w:val="right" w:leader="dot" w:pos="10011"/>
            </w:tabs>
            <w:spacing w:line="360" w:lineRule="auto"/>
            <w:rPr>
              <w:rStyle w:val="17"/>
              <w:rFonts w:asciiTheme="minorEastAsia" w:hAnsiTheme="minorEastAsia"/>
              <w:color w:val="auto"/>
              <w:sz w:val="24"/>
              <w:szCs w:val="24"/>
              <w:u w:val="none"/>
            </w:rPr>
          </w:pPr>
          <w:r>
            <w:rPr>
              <w:rStyle w:val="17"/>
              <w:rFonts w:hint="eastAsia" w:asciiTheme="minorEastAsia" w:hAnsiTheme="minorEastAsia"/>
              <w:b/>
              <w:color w:val="auto"/>
              <w:sz w:val="24"/>
              <w:szCs w:val="24"/>
              <w:u w:val="none"/>
            </w:rPr>
            <w:t>4.波速测试曲线图</w:t>
          </w:r>
          <w:r>
            <w:rPr>
              <w:rStyle w:val="17"/>
              <w:rFonts w:hint="eastAsia" w:asciiTheme="minorEastAsia" w:hAnsiTheme="minorEastAsia"/>
              <w:b/>
              <w:color w:val="auto"/>
              <w:sz w:val="24"/>
              <w:szCs w:val="24"/>
              <w:u w:val="none"/>
            </w:rPr>
            <w:tab/>
          </w:r>
          <w:r>
            <w:rPr>
              <w:rStyle w:val="17"/>
              <w:rFonts w:hint="eastAsia" w:asciiTheme="minorEastAsia" w:hAnsiTheme="minorEastAsia"/>
              <w:b/>
              <w:color w:val="auto"/>
              <w:sz w:val="24"/>
              <w:szCs w:val="24"/>
              <w:u w:val="none"/>
            </w:rPr>
            <w:t>共</w:t>
          </w:r>
          <w:r>
            <w:rPr>
              <w:rStyle w:val="17"/>
              <w:rFonts w:hint="eastAsia" w:asciiTheme="minorEastAsia" w:hAnsiTheme="minorEastAsia"/>
              <w:b/>
              <w:color w:val="auto"/>
              <w:sz w:val="24"/>
              <w:szCs w:val="24"/>
              <w:u w:val="none"/>
              <w:lang w:val="en-US" w:eastAsia="zh-CN"/>
            </w:rPr>
            <w:t>22</w:t>
          </w:r>
          <w:r>
            <w:rPr>
              <w:rStyle w:val="17"/>
              <w:rFonts w:asciiTheme="minorEastAsia" w:hAnsiTheme="minorEastAsia"/>
              <w:b/>
              <w:color w:val="auto"/>
              <w:sz w:val="24"/>
              <w:szCs w:val="24"/>
              <w:u w:val="none"/>
            </w:rPr>
            <w:t>页</w:t>
          </w:r>
        </w:p>
        <w:p>
          <w:pPr>
            <w:pStyle w:val="10"/>
            <w:tabs>
              <w:tab w:val="right" w:leader="dot" w:pos="10011"/>
            </w:tabs>
            <w:spacing w:line="360" w:lineRule="auto"/>
            <w:rPr>
              <w:rStyle w:val="17"/>
              <w:rFonts w:asciiTheme="minorEastAsia" w:hAnsiTheme="minorEastAsia"/>
              <w:b/>
              <w:color w:val="auto"/>
              <w:sz w:val="24"/>
              <w:szCs w:val="24"/>
              <w:u w:val="none"/>
            </w:rPr>
          </w:pPr>
          <w:r>
            <w:rPr>
              <w:rStyle w:val="17"/>
              <w:rFonts w:hint="eastAsia" w:asciiTheme="minorEastAsia" w:hAnsiTheme="minorEastAsia"/>
              <w:b/>
              <w:color w:val="auto"/>
              <w:sz w:val="24"/>
              <w:szCs w:val="24"/>
              <w:u w:val="none"/>
            </w:rPr>
            <w:t>5.</w:t>
          </w:r>
          <w:r>
            <w:rPr>
              <w:rStyle w:val="17"/>
              <w:rFonts w:asciiTheme="minorEastAsia" w:hAnsiTheme="minorEastAsia"/>
              <w:b/>
              <w:color w:val="auto"/>
              <w:sz w:val="24"/>
              <w:szCs w:val="24"/>
              <w:u w:val="none"/>
            </w:rPr>
            <w:t>勘探点</w:t>
          </w:r>
          <w:r>
            <w:rPr>
              <w:rStyle w:val="17"/>
              <w:rFonts w:hint="eastAsia" w:asciiTheme="minorEastAsia" w:hAnsiTheme="minorEastAsia"/>
              <w:b/>
              <w:color w:val="auto"/>
              <w:sz w:val="24"/>
              <w:szCs w:val="24"/>
              <w:u w:val="none"/>
            </w:rPr>
            <w:t>位</w:t>
          </w:r>
          <w:r>
            <w:rPr>
              <w:rStyle w:val="17"/>
              <w:rFonts w:asciiTheme="minorEastAsia" w:hAnsiTheme="minorEastAsia"/>
              <w:b/>
              <w:color w:val="auto"/>
              <w:sz w:val="24"/>
              <w:szCs w:val="24"/>
              <w:u w:val="none"/>
            </w:rPr>
            <w:t>置</w:t>
          </w:r>
          <w:r>
            <w:rPr>
              <w:rStyle w:val="17"/>
              <w:rFonts w:hint="eastAsia" w:asciiTheme="minorEastAsia" w:hAnsiTheme="minorEastAsia"/>
              <w:b/>
              <w:color w:val="auto"/>
              <w:sz w:val="24"/>
              <w:szCs w:val="24"/>
              <w:u w:val="none"/>
            </w:rPr>
            <w:t>平面图</w:t>
          </w:r>
          <w:r>
            <w:rPr>
              <w:rStyle w:val="17"/>
              <w:rFonts w:hint="eastAsia" w:asciiTheme="minorEastAsia" w:hAnsiTheme="minorEastAsia"/>
              <w:b/>
              <w:color w:val="auto"/>
              <w:sz w:val="24"/>
              <w:szCs w:val="24"/>
              <w:u w:val="none"/>
            </w:rPr>
            <w:tab/>
          </w:r>
          <w:r>
            <w:rPr>
              <w:rStyle w:val="17"/>
              <w:rFonts w:hint="eastAsia" w:asciiTheme="minorEastAsia" w:hAnsiTheme="minorEastAsia"/>
              <w:b/>
              <w:color w:val="auto"/>
              <w:sz w:val="24"/>
              <w:szCs w:val="24"/>
              <w:u w:val="none"/>
            </w:rPr>
            <w:t>共1</w:t>
          </w:r>
          <w:r>
            <w:rPr>
              <w:rStyle w:val="17"/>
              <w:rFonts w:asciiTheme="minorEastAsia" w:hAnsiTheme="minorEastAsia"/>
              <w:b/>
              <w:color w:val="auto"/>
              <w:sz w:val="24"/>
              <w:szCs w:val="24"/>
              <w:u w:val="none"/>
            </w:rPr>
            <w:t>页</w:t>
          </w:r>
        </w:p>
        <w:p>
          <w:pPr>
            <w:pStyle w:val="10"/>
            <w:tabs>
              <w:tab w:val="right" w:leader="dot" w:pos="10011"/>
            </w:tabs>
            <w:spacing w:line="360" w:lineRule="auto"/>
            <w:rPr>
              <w:rFonts w:asciiTheme="minorEastAsia" w:hAnsiTheme="minorEastAsia"/>
            </w:rPr>
          </w:pPr>
          <w:r>
            <w:rPr>
              <w:rStyle w:val="17"/>
              <w:rFonts w:hint="eastAsia" w:asciiTheme="minorEastAsia" w:hAnsiTheme="minorEastAsia"/>
              <w:b/>
              <w:color w:val="auto"/>
              <w:sz w:val="24"/>
              <w:szCs w:val="24"/>
              <w:u w:val="none"/>
            </w:rPr>
            <w:t>6.</w:t>
          </w:r>
          <w:r>
            <w:rPr>
              <w:rStyle w:val="17"/>
              <w:rFonts w:asciiTheme="minorEastAsia" w:hAnsiTheme="minorEastAsia"/>
              <w:b/>
              <w:color w:val="auto"/>
              <w:sz w:val="24"/>
              <w:szCs w:val="24"/>
              <w:u w:val="none"/>
            </w:rPr>
            <w:t>工程地质剖面图</w:t>
          </w:r>
          <w:r>
            <w:rPr>
              <w:rStyle w:val="17"/>
              <w:rFonts w:hint="eastAsia" w:asciiTheme="minorEastAsia" w:hAnsiTheme="minorEastAsia"/>
              <w:b/>
              <w:color w:val="auto"/>
              <w:sz w:val="24"/>
              <w:szCs w:val="24"/>
              <w:u w:val="none"/>
            </w:rPr>
            <w:tab/>
          </w:r>
          <w:r>
            <w:rPr>
              <w:rStyle w:val="17"/>
              <w:rFonts w:hint="eastAsia" w:asciiTheme="minorEastAsia" w:hAnsiTheme="minorEastAsia"/>
              <w:b/>
              <w:color w:val="auto"/>
              <w:sz w:val="24"/>
              <w:szCs w:val="24"/>
              <w:u w:val="none"/>
            </w:rPr>
            <w:t>共</w:t>
          </w:r>
          <w:r>
            <w:rPr>
              <w:rStyle w:val="17"/>
              <w:rFonts w:hint="eastAsia" w:asciiTheme="minorEastAsia" w:hAnsiTheme="minorEastAsia"/>
              <w:b/>
              <w:color w:val="auto"/>
              <w:sz w:val="24"/>
              <w:szCs w:val="24"/>
              <w:u w:val="none"/>
              <w:lang w:val="en-US" w:eastAsia="zh-CN"/>
            </w:rPr>
            <w:t>102</w:t>
          </w:r>
          <w:r>
            <w:rPr>
              <w:rStyle w:val="17"/>
              <w:rFonts w:asciiTheme="minorEastAsia" w:hAnsiTheme="minorEastAsia"/>
              <w:b/>
              <w:color w:val="auto"/>
              <w:sz w:val="24"/>
              <w:szCs w:val="24"/>
              <w:u w:val="none"/>
            </w:rPr>
            <w:t>页</w:t>
          </w:r>
        </w:p>
      </w:sdtContent>
    </w:sdt>
    <w:p>
      <w:pPr>
        <w:tabs>
          <w:tab w:val="right" w:leader="middleDot" w:pos="9240"/>
        </w:tabs>
        <w:autoSpaceDE w:val="0"/>
        <w:autoSpaceDN w:val="0"/>
        <w:adjustRightInd w:val="0"/>
        <w:spacing w:line="600" w:lineRule="exact"/>
        <w:rPr>
          <w:color w:val="000000"/>
          <w:szCs w:val="21"/>
        </w:rPr>
        <w:sectPr>
          <w:type w:val="continuous"/>
          <w:pgSz w:w="23814" w:h="16839" w:orient="landscape"/>
          <w:pgMar w:top="1588" w:right="1361" w:bottom="1588" w:left="1985" w:header="1077" w:footer="1077" w:gutter="0"/>
          <w:pgNumType w:start="2"/>
          <w:cols w:equalWidth="0" w:num="2" w:sep="1">
            <w:col w:w="10021" w:space="425"/>
            <w:col w:w="10021"/>
          </w:cols>
          <w:titlePg/>
          <w:docGrid w:type="lines" w:linePitch="320" w:charSpace="0"/>
        </w:sectPr>
      </w:pPr>
    </w:p>
    <w:p>
      <w:pPr>
        <w:pStyle w:val="2"/>
        <w:keepNext w:val="0"/>
        <w:keepLines w:val="0"/>
        <w:spacing w:before="0" w:after="0" w:line="720" w:lineRule="auto"/>
        <w:jc w:val="left"/>
        <w:rPr>
          <w:rFonts w:ascii="黑体" w:hAnsi="黑体" w:eastAsia="黑体"/>
          <w:color w:val="000000"/>
          <w:szCs w:val="21"/>
        </w:rPr>
      </w:pPr>
      <w:r>
        <w:rPr>
          <w:color w:val="000000"/>
          <w:szCs w:val="21"/>
        </w:rPr>
        <w:br w:type="page"/>
      </w:r>
      <w:r>
        <w:rPr>
          <w:rFonts w:hint="eastAsia" w:eastAsia="黑体"/>
          <w:sz w:val="28"/>
        </w:rPr>
        <w:t>文字部分</w:t>
      </w:r>
    </w:p>
    <w:p>
      <w:pPr>
        <w:tabs>
          <w:tab w:val="right" w:leader="middleDot" w:pos="9240"/>
        </w:tabs>
        <w:autoSpaceDE w:val="0"/>
        <w:autoSpaceDN w:val="0"/>
        <w:adjustRightInd w:val="0"/>
        <w:spacing w:line="600" w:lineRule="exact"/>
        <w:rPr>
          <w:rFonts w:hint="eastAsia" w:eastAsia="黑体"/>
          <w:b/>
          <w:sz w:val="28"/>
          <w:lang w:eastAsia="zh-CN"/>
        </w:rPr>
      </w:pPr>
      <w:r>
        <w:rPr>
          <w:rStyle w:val="27"/>
          <w:color w:val="000000"/>
        </w:rPr>
        <w:t>工程名称：</w:t>
      </w:r>
      <w:r>
        <w:rPr>
          <w:rFonts w:hint="eastAsia" w:eastAsia="黑体"/>
          <w:b/>
          <w:sz w:val="28"/>
          <w:lang w:eastAsia="zh-CN"/>
        </w:rPr>
        <w:t>16号地块</w:t>
      </w:r>
    </w:p>
    <w:p>
      <w:pPr>
        <w:tabs>
          <w:tab w:val="right" w:leader="middleDot" w:pos="9240"/>
        </w:tabs>
        <w:autoSpaceDE w:val="0"/>
        <w:autoSpaceDN w:val="0"/>
        <w:adjustRightInd w:val="0"/>
        <w:spacing w:line="600" w:lineRule="exact"/>
        <w:rPr>
          <w:rStyle w:val="27"/>
          <w:rFonts w:hint="eastAsia" w:eastAsia="黑体"/>
          <w:color w:val="000000"/>
          <w:lang w:eastAsia="zh-CN"/>
        </w:rPr>
      </w:pPr>
      <w:r>
        <w:rPr>
          <w:rStyle w:val="27"/>
          <w:rFonts w:hint="eastAsia"/>
          <w:color w:val="000000"/>
        </w:rPr>
        <w:t>建设单位：</w:t>
      </w:r>
      <w:r>
        <w:rPr>
          <w:rFonts w:hint="eastAsia" w:eastAsia="黑体"/>
          <w:b/>
          <w:sz w:val="28"/>
          <w:lang w:eastAsia="zh-CN"/>
        </w:rPr>
        <w:t>万科</w:t>
      </w:r>
    </w:p>
    <w:p>
      <w:pPr>
        <w:pStyle w:val="2"/>
        <w:keepNext w:val="0"/>
        <w:keepLines w:val="0"/>
        <w:numPr>
          <w:ilvl w:val="0"/>
          <w:numId w:val="2"/>
        </w:numPr>
        <w:spacing w:before="0" w:after="0" w:line="540" w:lineRule="auto"/>
        <w:jc w:val="left"/>
        <w:rPr>
          <w:rFonts w:eastAsia="黑体"/>
          <w:sz w:val="28"/>
        </w:rPr>
      </w:pPr>
      <w:bookmarkStart w:id="0" w:name="_Toc10468499"/>
      <w:r>
        <w:rPr>
          <w:rFonts w:hint="eastAsia" w:eastAsia="黑体"/>
          <w:sz w:val="28"/>
        </w:rPr>
        <w:t>勘察工作</w:t>
      </w:r>
      <w:bookmarkEnd w:id="0"/>
    </w:p>
    <w:p>
      <w:pPr>
        <w:pStyle w:val="3"/>
        <w:keepNext w:val="0"/>
        <w:keepLines w:val="0"/>
        <w:numPr>
          <w:ilvl w:val="1"/>
          <w:numId w:val="2"/>
        </w:numPr>
        <w:spacing w:before="0" w:after="0" w:line="480" w:lineRule="auto"/>
        <w:ind w:left="0"/>
        <w:jc w:val="left"/>
        <w:rPr>
          <w:rFonts w:ascii="Times New Roman" w:hAnsi="Times New Roman" w:eastAsia="黑体" w:cstheme="majorBidi"/>
          <w:sz w:val="28"/>
        </w:rPr>
      </w:pPr>
      <w:bookmarkStart w:id="1" w:name="_Toc10468500"/>
      <w:r>
        <w:rPr>
          <w:rFonts w:hint="eastAsia" w:ascii="Times New Roman" w:hAnsi="Times New Roman" w:eastAsia="黑体" w:cstheme="majorBidi"/>
          <w:sz w:val="28"/>
        </w:rPr>
        <w:t>工程概况</w:t>
      </w:r>
      <w:bookmarkEnd w:id="1"/>
    </w:p>
    <w:p>
      <w:pPr>
        <w:spacing w:line="360" w:lineRule="auto"/>
        <w:ind w:firstLine="480" w:firstLineChars="200"/>
        <w:rPr>
          <w:sz w:val="24"/>
        </w:rPr>
      </w:pPr>
      <w:r>
        <w:rPr>
          <w:rFonts w:hint="eastAsia"/>
          <w:sz w:val="24"/>
        </w:rPr>
        <w:t>受</w:t>
      </w:r>
      <w:r>
        <w:rPr>
          <w:rFonts w:hint="eastAsia"/>
          <w:sz w:val="24"/>
          <w:lang w:eastAsia="zh-CN"/>
        </w:rPr>
        <w:t>万科</w:t>
      </w:r>
      <w:r>
        <w:rPr>
          <w:rFonts w:hint="eastAsia"/>
          <w:sz w:val="24"/>
        </w:rPr>
        <w:t>（以下简称“建设单位”）委托，</w:t>
      </w:r>
      <w:r>
        <w:rPr>
          <w:rFonts w:hint="eastAsia"/>
          <w:sz w:val="24"/>
          <w:lang w:eastAsia="zh-CN"/>
        </w:rPr>
        <w:t>中冶沈勘工程技术有限公司</w:t>
      </w:r>
      <w:bookmarkStart w:id="45" w:name="_GoBack"/>
      <w:bookmarkEnd w:id="45"/>
      <w:r>
        <w:rPr>
          <w:rFonts w:hint="eastAsia"/>
          <w:sz w:val="24"/>
        </w:rPr>
        <w:t>承担了</w:t>
      </w:r>
      <w:r>
        <w:rPr>
          <w:rFonts w:hint="eastAsia"/>
          <w:sz w:val="24"/>
          <w:lang w:eastAsia="zh-CN"/>
        </w:rPr>
        <w:t>16号地块</w:t>
      </w:r>
      <w:r>
        <w:rPr>
          <w:rFonts w:hint="eastAsia"/>
          <w:sz w:val="24"/>
        </w:rPr>
        <w:t>（以下简称“本工程”）的岩土工程勘察工作。</w:t>
      </w:r>
    </w:p>
    <w:p>
      <w:pPr>
        <w:spacing w:line="360" w:lineRule="auto"/>
        <w:ind w:firstLine="480" w:firstLineChars="200"/>
        <w:rPr>
          <w:sz w:val="24"/>
        </w:rPr>
      </w:pPr>
      <w:r>
        <w:rPr>
          <w:rFonts w:hint="eastAsia"/>
          <w:sz w:val="24"/>
        </w:rPr>
        <w:t>本工程拟建场地位于</w:t>
      </w:r>
      <w:r>
        <w:rPr>
          <w:rFonts w:hint="eastAsia"/>
          <w:sz w:val="24"/>
          <w:lang w:eastAsia="zh-CN"/>
        </w:rPr>
        <w:t>长春市生态大街</w:t>
      </w:r>
      <w:r>
        <w:rPr>
          <w:rFonts w:hint="eastAsia"/>
          <w:sz w:val="24"/>
        </w:rPr>
        <w:t>。本工程拟建场地示意位置见图1。</w:t>
      </w:r>
    </w:p>
    <w:p>
      <w:pPr>
        <w:spacing w:line="360" w:lineRule="auto"/>
        <w:jc w:val="center"/>
        <w:rPr>
          <w:rFonts w:hint="eastAsia" w:eastAsia="宋体"/>
          <w:b/>
          <w:bCs/>
          <w:sz w:val="24"/>
          <w:lang w:eastAsia="zh-CN"/>
        </w:rPr>
      </w:pPr>
      <w:r>
        <w:rPr>
          <w:rFonts w:hint="eastAsia" w:eastAsia="宋体"/>
          <w:sz w:val="24"/>
          <w:lang w:eastAsia="zh-CN"/>
        </w:rPr>
        <w:drawing>
          <wp:inline distT="0" distB="0" distL="114300" distR="114300">
            <wp:extent cx="6362700" cy="3705225"/>
            <wp:effectExtent l="0" t="0" r="0" b="9525"/>
            <wp:docPr id="3" name="图片 3" descr="微信图片_2020042313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00423130043"/>
                    <pic:cNvPicPr>
                      <a:picLocks noChangeAspect="1"/>
                    </pic:cNvPicPr>
                  </pic:nvPicPr>
                  <pic:blipFill>
                    <a:blip r:embed="rId16"/>
                    <a:stretch>
                      <a:fillRect/>
                    </a:stretch>
                  </pic:blipFill>
                  <pic:spPr>
                    <a:xfrm>
                      <a:off x="0" y="0"/>
                      <a:ext cx="6362700" cy="3705225"/>
                    </a:xfrm>
                    <a:prstGeom prst="rect">
                      <a:avLst/>
                    </a:prstGeom>
                  </pic:spPr>
                </pic:pic>
              </a:graphicData>
            </a:graphic>
          </wp:inline>
        </w:drawing>
      </w:r>
    </w:p>
    <w:p>
      <w:pPr>
        <w:ind w:firstLine="573"/>
        <w:jc w:val="center"/>
        <w:rPr>
          <w:color w:val="000000"/>
          <w:sz w:val="22"/>
        </w:rPr>
      </w:pPr>
      <w:r>
        <w:rPr>
          <w:rFonts w:hint="eastAsia"/>
          <w:color w:val="000000"/>
          <w:sz w:val="22"/>
        </w:rPr>
        <w:t>图1 拟建场地位置示意图</w:t>
      </w:r>
    </w:p>
    <w:p>
      <w:pPr>
        <w:spacing w:line="360" w:lineRule="auto"/>
        <w:ind w:firstLine="480" w:firstLineChars="200"/>
        <w:rPr>
          <w:color w:val="000000"/>
          <w:sz w:val="28"/>
        </w:rPr>
      </w:pPr>
      <w:r>
        <w:rPr>
          <w:rFonts w:hint="eastAsia"/>
          <w:sz w:val="24"/>
        </w:rPr>
        <w:t>本次勘察拟建建筑主体由</w:t>
      </w:r>
      <w:r>
        <w:rPr>
          <w:rFonts w:hint="eastAsia"/>
          <w:sz w:val="24"/>
          <w:lang w:val="en-US" w:eastAsia="zh-CN"/>
        </w:rPr>
        <w:t>17</w:t>
      </w:r>
      <w:r>
        <w:rPr>
          <w:rFonts w:hint="eastAsia"/>
          <w:sz w:val="24"/>
        </w:rPr>
        <w:t>栋</w:t>
      </w:r>
      <w:r>
        <w:rPr>
          <w:rFonts w:hint="eastAsia"/>
          <w:sz w:val="24"/>
          <w:lang w:val="en-US" w:eastAsia="zh-CN"/>
        </w:rPr>
        <w:t>21</w:t>
      </w:r>
      <w:r>
        <w:rPr>
          <w:rFonts w:hint="eastAsia"/>
          <w:sz w:val="24"/>
        </w:rPr>
        <w:t>-</w:t>
      </w:r>
      <w:r>
        <w:rPr>
          <w:rFonts w:hint="eastAsia"/>
          <w:sz w:val="24"/>
          <w:lang w:val="en-US" w:eastAsia="zh-CN"/>
        </w:rPr>
        <w:t>2</w:t>
      </w:r>
      <w:r>
        <w:rPr>
          <w:rFonts w:hint="eastAsia"/>
          <w:sz w:val="24"/>
        </w:rPr>
        <w:t>8</w:t>
      </w:r>
      <w:r>
        <w:rPr>
          <w:rFonts w:hint="eastAsia"/>
          <w:sz w:val="24"/>
          <w:lang w:val="en-US" w:eastAsia="zh-CN"/>
        </w:rPr>
        <w:t>F</w:t>
      </w:r>
      <w:r>
        <w:rPr>
          <w:rFonts w:hint="eastAsia"/>
          <w:sz w:val="24"/>
        </w:rPr>
        <w:t>高层住宅、满铺1层地下室</w:t>
      </w:r>
      <w:r>
        <w:rPr>
          <w:rFonts w:hint="eastAsia"/>
          <w:sz w:val="24"/>
          <w:lang w:eastAsia="zh-CN"/>
        </w:rPr>
        <w:t>，埋深约</w:t>
      </w:r>
      <w:r>
        <w:rPr>
          <w:rFonts w:hint="eastAsia"/>
          <w:sz w:val="24"/>
          <w:lang w:val="en-US" w:eastAsia="zh-CN"/>
        </w:rPr>
        <w:t>6.0m，12</w:t>
      </w:r>
      <w:r>
        <w:rPr>
          <w:rFonts w:hint="eastAsia"/>
          <w:sz w:val="24"/>
        </w:rPr>
        <w:t>栋1-3层商业</w:t>
      </w:r>
      <w:r>
        <w:rPr>
          <w:rFonts w:hint="eastAsia"/>
          <w:sz w:val="24"/>
          <w:lang w:eastAsia="zh-CN"/>
        </w:rPr>
        <w:t>及配套，无地下室。高层住宅</w:t>
      </w:r>
      <w:r>
        <w:rPr>
          <w:rFonts w:hint="eastAsia"/>
          <w:sz w:val="24"/>
        </w:rPr>
        <w:t>拟采用框剪结构</w:t>
      </w:r>
      <w:r>
        <w:rPr>
          <w:rFonts w:hint="eastAsia"/>
          <w:sz w:val="24"/>
          <w:lang w:eastAsia="zh-CN"/>
        </w:rPr>
        <w:t>，</w:t>
      </w:r>
      <w:r>
        <w:rPr>
          <w:rFonts w:hint="eastAsia"/>
          <w:sz w:val="24"/>
        </w:rPr>
        <w:t>商业及地下室拟采用框架结构。总建筑面积约</w:t>
      </w:r>
      <w:r>
        <w:rPr>
          <w:rFonts w:hint="eastAsia"/>
          <w:sz w:val="24"/>
          <w:lang w:val="en-US" w:eastAsia="zh-CN"/>
        </w:rPr>
        <w:t>375610.53</w:t>
      </w:r>
      <w:r>
        <w:rPr>
          <w:rFonts w:hint="eastAsia"/>
          <w:sz w:val="24"/>
        </w:rPr>
        <w:t>㎡，拟建建筑拟采用基础型式为</w:t>
      </w:r>
      <w:r>
        <w:rPr>
          <w:rFonts w:hint="eastAsia"/>
          <w:sz w:val="24"/>
          <w:lang w:eastAsia="zh-CN"/>
        </w:rPr>
        <w:t>天然地基</w:t>
      </w:r>
      <w:r>
        <w:rPr>
          <w:rFonts w:hint="eastAsia"/>
          <w:sz w:val="24"/>
        </w:rPr>
        <w:t>或桩基础，建筑分布位置及建筑具体尺寸详见建筑物及勘探点平面位置图。具体建筑情况见下表1：</w:t>
      </w:r>
    </w:p>
    <w:p>
      <w:pPr>
        <w:ind w:firstLine="480" w:firstLineChars="200"/>
        <w:jc w:val="center"/>
        <w:rPr>
          <w:sz w:val="24"/>
        </w:rPr>
      </w:pPr>
      <w:r>
        <w:rPr>
          <w:rFonts w:hint="eastAsia"/>
          <w:sz w:val="24"/>
        </w:rPr>
        <w:t>表1   拟建各建筑物设计条件</w:t>
      </w:r>
    </w:p>
    <w:tbl>
      <w:tblPr>
        <w:tblStyle w:val="13"/>
        <w:tblW w:w="491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82"/>
        <w:gridCol w:w="1370"/>
        <w:gridCol w:w="1631"/>
        <w:gridCol w:w="902"/>
        <w:gridCol w:w="1042"/>
        <w:gridCol w:w="1818"/>
        <w:gridCol w:w="23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396" w:type="pct"/>
            <w:vAlign w:val="center"/>
          </w:tcPr>
          <w:p>
            <w:pPr>
              <w:jc w:val="center"/>
            </w:pPr>
            <w:r>
              <w:rPr>
                <w:rFonts w:hint="eastAsia"/>
              </w:rPr>
              <w:t>楼栋号</w:t>
            </w:r>
          </w:p>
        </w:tc>
        <w:tc>
          <w:tcPr>
            <w:tcW w:w="694" w:type="pct"/>
            <w:vAlign w:val="center"/>
          </w:tcPr>
          <w:p>
            <w:pPr>
              <w:jc w:val="center"/>
            </w:pPr>
            <w:r>
              <w:rPr>
                <w:rFonts w:hint="eastAsia"/>
              </w:rPr>
              <w:t>建筑名称</w:t>
            </w:r>
          </w:p>
        </w:tc>
        <w:tc>
          <w:tcPr>
            <w:tcW w:w="826" w:type="pct"/>
            <w:vAlign w:val="center"/>
          </w:tcPr>
          <w:p>
            <w:pPr>
              <w:jc w:val="center"/>
            </w:pPr>
            <w:r>
              <w:rPr>
                <w:rFonts w:hint="eastAsia"/>
              </w:rPr>
              <w:t>层数/地下层数</w:t>
            </w:r>
          </w:p>
        </w:tc>
        <w:tc>
          <w:tcPr>
            <w:tcW w:w="457" w:type="pct"/>
            <w:vAlign w:val="center"/>
          </w:tcPr>
          <w:p>
            <w:pPr>
              <w:jc w:val="center"/>
            </w:pPr>
            <w:r>
              <w:rPr>
                <w:rFonts w:hint="eastAsia"/>
              </w:rPr>
              <w:t>高度(m)</w:t>
            </w:r>
          </w:p>
        </w:tc>
        <w:tc>
          <w:tcPr>
            <w:tcW w:w="528" w:type="pct"/>
            <w:vAlign w:val="center"/>
          </w:tcPr>
          <w:p>
            <w:pPr>
              <w:jc w:val="center"/>
            </w:pPr>
            <w:r>
              <w:rPr>
                <w:rFonts w:hint="eastAsia"/>
              </w:rPr>
              <w:t>结构形式</w:t>
            </w:r>
          </w:p>
        </w:tc>
        <w:tc>
          <w:tcPr>
            <w:tcW w:w="921" w:type="pct"/>
            <w:vAlign w:val="center"/>
          </w:tcPr>
          <w:p>
            <w:pPr>
              <w:jc w:val="center"/>
            </w:pPr>
            <w:r>
              <w:rPr>
                <w:rFonts w:hint="eastAsia"/>
              </w:rPr>
              <w:t>拟采用基础形式</w:t>
            </w:r>
          </w:p>
        </w:tc>
        <w:tc>
          <w:tcPr>
            <w:tcW w:w="1175" w:type="pct"/>
            <w:vAlign w:val="center"/>
          </w:tcPr>
          <w:p>
            <w:pPr>
              <w:jc w:val="center"/>
            </w:pPr>
            <w:r>
              <w:rPr>
                <w:rFonts w:hint="eastAsia"/>
              </w:rPr>
              <w:t>正负零标高（±0.00）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396" w:type="pct"/>
            <w:vAlign w:val="center"/>
          </w:tcPr>
          <w:p>
            <w:pPr>
              <w:jc w:val="center"/>
              <w:rPr>
                <w:rFonts w:hint="default" w:eastAsia="宋体"/>
                <w:lang w:val="en-US" w:eastAsia="zh-CN"/>
              </w:rPr>
            </w:pPr>
            <w:r>
              <w:rPr>
                <w:rFonts w:hint="eastAsia"/>
                <w:lang w:val="en-US" w:eastAsia="zh-CN"/>
              </w:rPr>
              <w:t>16-1</w:t>
            </w:r>
          </w:p>
        </w:tc>
        <w:tc>
          <w:tcPr>
            <w:tcW w:w="694" w:type="pct"/>
            <w:vAlign w:val="center"/>
          </w:tcPr>
          <w:p>
            <w:pPr>
              <w:jc w:val="center"/>
              <w:rPr>
                <w:rFonts w:hint="eastAsia" w:eastAsia="宋体"/>
                <w:lang w:eastAsia="zh-CN"/>
              </w:rPr>
            </w:pPr>
            <w:r>
              <w:rPr>
                <w:rFonts w:hint="eastAsia"/>
                <w:lang w:eastAsia="zh-CN"/>
              </w:rPr>
              <w:t>住宅</w:t>
            </w:r>
          </w:p>
        </w:tc>
        <w:tc>
          <w:tcPr>
            <w:tcW w:w="826" w:type="pct"/>
            <w:vAlign w:val="center"/>
          </w:tcPr>
          <w:p>
            <w:pPr>
              <w:jc w:val="center"/>
              <w:rPr>
                <w:rFonts w:hint="default" w:eastAsia="宋体"/>
                <w:lang w:val="en-US" w:eastAsia="zh-CN"/>
              </w:rPr>
            </w:pPr>
            <w:r>
              <w:rPr>
                <w:rFonts w:hint="eastAsia"/>
                <w:lang w:val="en-US" w:eastAsia="zh-CN"/>
              </w:rPr>
              <w:t>24</w:t>
            </w:r>
          </w:p>
        </w:tc>
        <w:tc>
          <w:tcPr>
            <w:tcW w:w="457" w:type="pct"/>
            <w:vAlign w:val="center"/>
          </w:tcPr>
          <w:p>
            <w:pPr>
              <w:jc w:val="center"/>
              <w:rPr>
                <w:rFonts w:hint="default" w:eastAsia="宋体"/>
                <w:lang w:val="en-US" w:eastAsia="zh-CN"/>
              </w:rPr>
            </w:pPr>
            <w:r>
              <w:rPr>
                <w:rFonts w:hint="eastAsia"/>
                <w:lang w:val="en-US" w:eastAsia="zh-CN"/>
              </w:rPr>
              <w:t>67.95</w:t>
            </w:r>
          </w:p>
        </w:tc>
        <w:tc>
          <w:tcPr>
            <w:tcW w:w="528" w:type="pct"/>
            <w:vAlign w:val="center"/>
          </w:tcPr>
          <w:p>
            <w:pPr>
              <w:jc w:val="center"/>
              <w:rPr>
                <w:rFonts w:hint="eastAsia" w:eastAsia="宋体"/>
                <w:lang w:eastAsia="zh-CN"/>
              </w:rPr>
            </w:pPr>
            <w:r>
              <w:rPr>
                <w:rFonts w:hint="eastAsia"/>
                <w:lang w:eastAsia="zh-CN"/>
              </w:rPr>
              <w:t>框剪</w:t>
            </w:r>
          </w:p>
        </w:tc>
        <w:tc>
          <w:tcPr>
            <w:tcW w:w="921" w:type="pct"/>
            <w:vAlign w:val="center"/>
          </w:tcPr>
          <w:p>
            <w:pPr>
              <w:jc w:val="center"/>
              <w:rPr>
                <w:rFonts w:hint="eastAsia" w:eastAsia="宋体"/>
                <w:lang w:eastAsia="zh-CN"/>
              </w:rPr>
            </w:pPr>
            <w:r>
              <w:rPr>
                <w:rFonts w:hint="eastAsia"/>
                <w:lang w:eastAsia="zh-CN"/>
              </w:rPr>
              <w:t>天然地基或桩基础</w:t>
            </w:r>
          </w:p>
        </w:tc>
        <w:tc>
          <w:tcPr>
            <w:tcW w:w="1175" w:type="pct"/>
            <w:vAlign w:val="center"/>
          </w:tcPr>
          <w:p>
            <w:pPr>
              <w:jc w:val="center"/>
              <w:rPr>
                <w:rFonts w:hint="default" w:eastAsia="宋体"/>
                <w:lang w:val="en-US" w:eastAsia="zh-CN"/>
              </w:rPr>
            </w:pPr>
            <w:r>
              <w:rPr>
                <w:rFonts w:hint="eastAsia"/>
                <w:lang w:val="en-US" w:eastAsia="zh-CN"/>
              </w:rPr>
              <w:t>209.05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396" w:type="pct"/>
            <w:vAlign w:val="center"/>
          </w:tcPr>
          <w:p>
            <w:pPr>
              <w:jc w:val="center"/>
              <w:rPr>
                <w:rFonts w:hint="default" w:eastAsia="宋体"/>
                <w:lang w:val="en-US" w:eastAsia="zh-CN"/>
              </w:rPr>
            </w:pPr>
            <w:r>
              <w:rPr>
                <w:rFonts w:hint="eastAsia"/>
                <w:lang w:val="en-US" w:eastAsia="zh-CN"/>
              </w:rPr>
              <w:t>16-2</w:t>
            </w:r>
          </w:p>
        </w:tc>
        <w:tc>
          <w:tcPr>
            <w:tcW w:w="694" w:type="pct"/>
            <w:vAlign w:val="center"/>
          </w:tcPr>
          <w:p>
            <w:pPr>
              <w:jc w:val="center"/>
            </w:pPr>
            <w:r>
              <w:rPr>
                <w:rFonts w:hint="eastAsia"/>
                <w:lang w:eastAsia="zh-CN"/>
              </w:rPr>
              <w:t>住宅</w:t>
            </w:r>
          </w:p>
        </w:tc>
        <w:tc>
          <w:tcPr>
            <w:tcW w:w="826" w:type="pct"/>
            <w:vAlign w:val="center"/>
          </w:tcPr>
          <w:p>
            <w:pPr>
              <w:jc w:val="center"/>
              <w:rPr>
                <w:rFonts w:hint="default" w:eastAsia="宋体"/>
                <w:lang w:val="en-US" w:eastAsia="zh-CN"/>
              </w:rPr>
            </w:pPr>
            <w:r>
              <w:rPr>
                <w:rFonts w:hint="eastAsia"/>
                <w:lang w:val="en-US" w:eastAsia="zh-CN"/>
              </w:rPr>
              <w:t>27</w:t>
            </w:r>
          </w:p>
        </w:tc>
        <w:tc>
          <w:tcPr>
            <w:tcW w:w="457" w:type="pct"/>
            <w:vAlign w:val="center"/>
          </w:tcPr>
          <w:p>
            <w:pPr>
              <w:jc w:val="center"/>
              <w:rPr>
                <w:rFonts w:hint="default" w:eastAsia="宋体"/>
                <w:lang w:val="en-US" w:eastAsia="zh-CN"/>
              </w:rPr>
            </w:pPr>
            <w:r>
              <w:rPr>
                <w:rFonts w:hint="eastAsia"/>
                <w:lang w:val="en-US" w:eastAsia="zh-CN"/>
              </w:rPr>
              <w:t>75.75</w:t>
            </w:r>
          </w:p>
        </w:tc>
        <w:tc>
          <w:tcPr>
            <w:tcW w:w="528" w:type="pct"/>
            <w:vAlign w:val="center"/>
          </w:tcPr>
          <w:p>
            <w:pPr>
              <w:jc w:val="center"/>
            </w:pPr>
            <w:r>
              <w:rPr>
                <w:rFonts w:hint="eastAsia"/>
                <w:lang w:eastAsia="zh-CN"/>
              </w:rPr>
              <w:t>框剪</w:t>
            </w:r>
          </w:p>
        </w:tc>
        <w:tc>
          <w:tcPr>
            <w:tcW w:w="921" w:type="pct"/>
            <w:vAlign w:val="center"/>
          </w:tcPr>
          <w:p>
            <w:pPr>
              <w:jc w:val="center"/>
            </w:pPr>
            <w:r>
              <w:rPr>
                <w:rFonts w:hint="eastAsia"/>
                <w:lang w:eastAsia="zh-CN"/>
              </w:rPr>
              <w:t>天然地基或桩基础</w:t>
            </w:r>
          </w:p>
        </w:tc>
        <w:tc>
          <w:tcPr>
            <w:tcW w:w="1175" w:type="pct"/>
            <w:vAlign w:val="center"/>
          </w:tcPr>
          <w:p>
            <w:pPr>
              <w:jc w:val="center"/>
              <w:rPr>
                <w:rFonts w:hint="default" w:eastAsia="宋体"/>
                <w:lang w:val="en-US" w:eastAsia="zh-CN"/>
              </w:rPr>
            </w:pPr>
            <w:r>
              <w:rPr>
                <w:rFonts w:hint="eastAsia"/>
                <w:lang w:val="en-US" w:eastAsia="zh-CN"/>
              </w:rPr>
              <w:t>209.05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396" w:type="pct"/>
            <w:vAlign w:val="center"/>
          </w:tcPr>
          <w:p>
            <w:pPr>
              <w:jc w:val="center"/>
            </w:pPr>
            <w:r>
              <w:rPr>
                <w:rFonts w:hint="eastAsia"/>
                <w:lang w:val="en-US" w:eastAsia="zh-CN"/>
              </w:rPr>
              <w:t>16-3</w:t>
            </w:r>
          </w:p>
        </w:tc>
        <w:tc>
          <w:tcPr>
            <w:tcW w:w="694" w:type="pct"/>
            <w:vAlign w:val="center"/>
          </w:tcPr>
          <w:p>
            <w:pPr>
              <w:jc w:val="center"/>
            </w:pPr>
            <w:r>
              <w:rPr>
                <w:rFonts w:hint="eastAsia"/>
                <w:lang w:eastAsia="zh-CN"/>
              </w:rPr>
              <w:t>住宅</w:t>
            </w:r>
          </w:p>
        </w:tc>
        <w:tc>
          <w:tcPr>
            <w:tcW w:w="826" w:type="pct"/>
            <w:vAlign w:val="center"/>
          </w:tcPr>
          <w:p>
            <w:pPr>
              <w:jc w:val="center"/>
              <w:rPr>
                <w:rFonts w:hint="default" w:eastAsia="宋体"/>
                <w:lang w:val="en-US" w:eastAsia="zh-CN"/>
              </w:rPr>
            </w:pPr>
            <w:r>
              <w:rPr>
                <w:rFonts w:hint="eastAsia"/>
                <w:lang w:val="en-US" w:eastAsia="zh-CN"/>
              </w:rPr>
              <w:t>28</w:t>
            </w:r>
          </w:p>
        </w:tc>
        <w:tc>
          <w:tcPr>
            <w:tcW w:w="457" w:type="pct"/>
            <w:vAlign w:val="center"/>
          </w:tcPr>
          <w:p>
            <w:pPr>
              <w:jc w:val="center"/>
              <w:rPr>
                <w:rFonts w:hint="default" w:eastAsia="宋体"/>
                <w:lang w:val="en-US" w:eastAsia="zh-CN"/>
              </w:rPr>
            </w:pPr>
            <w:r>
              <w:rPr>
                <w:rFonts w:hint="eastAsia"/>
                <w:lang w:val="en-US" w:eastAsia="zh-CN"/>
              </w:rPr>
              <w:t>78.55</w:t>
            </w:r>
          </w:p>
        </w:tc>
        <w:tc>
          <w:tcPr>
            <w:tcW w:w="528" w:type="pct"/>
            <w:vAlign w:val="center"/>
          </w:tcPr>
          <w:p>
            <w:pPr>
              <w:jc w:val="center"/>
            </w:pPr>
            <w:r>
              <w:rPr>
                <w:rFonts w:hint="eastAsia"/>
                <w:lang w:eastAsia="zh-CN"/>
              </w:rPr>
              <w:t>框剪</w:t>
            </w:r>
          </w:p>
        </w:tc>
        <w:tc>
          <w:tcPr>
            <w:tcW w:w="921" w:type="pct"/>
            <w:vAlign w:val="center"/>
          </w:tcPr>
          <w:p>
            <w:pPr>
              <w:jc w:val="center"/>
            </w:pPr>
            <w:r>
              <w:rPr>
                <w:rFonts w:hint="eastAsia"/>
                <w:lang w:eastAsia="zh-CN"/>
              </w:rPr>
              <w:t>天然地基或桩基础</w:t>
            </w:r>
          </w:p>
        </w:tc>
        <w:tc>
          <w:tcPr>
            <w:tcW w:w="1175" w:type="pct"/>
            <w:vAlign w:val="center"/>
          </w:tcPr>
          <w:p>
            <w:pPr>
              <w:jc w:val="center"/>
              <w:rPr>
                <w:rFonts w:hint="default" w:eastAsia="宋体"/>
                <w:lang w:val="en-US" w:eastAsia="zh-CN"/>
              </w:rPr>
            </w:pPr>
            <w:r>
              <w:rPr>
                <w:rFonts w:hint="eastAsia"/>
                <w:lang w:val="en-US" w:eastAsia="zh-CN"/>
              </w:rPr>
              <w:t>209.40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396" w:type="pct"/>
            <w:vAlign w:val="center"/>
          </w:tcPr>
          <w:p>
            <w:pPr>
              <w:jc w:val="center"/>
            </w:pPr>
            <w:r>
              <w:rPr>
                <w:rFonts w:hint="eastAsia"/>
                <w:lang w:val="en-US" w:eastAsia="zh-CN"/>
              </w:rPr>
              <w:t>16-5</w:t>
            </w:r>
          </w:p>
        </w:tc>
        <w:tc>
          <w:tcPr>
            <w:tcW w:w="694" w:type="pct"/>
            <w:vAlign w:val="center"/>
          </w:tcPr>
          <w:p>
            <w:pPr>
              <w:jc w:val="center"/>
            </w:pPr>
            <w:r>
              <w:rPr>
                <w:rFonts w:hint="eastAsia"/>
                <w:lang w:eastAsia="zh-CN"/>
              </w:rPr>
              <w:t>住宅</w:t>
            </w:r>
          </w:p>
        </w:tc>
        <w:tc>
          <w:tcPr>
            <w:tcW w:w="826" w:type="pct"/>
            <w:vAlign w:val="center"/>
          </w:tcPr>
          <w:p>
            <w:pPr>
              <w:jc w:val="center"/>
              <w:rPr>
                <w:rFonts w:hint="default" w:eastAsia="宋体"/>
                <w:lang w:val="en-US" w:eastAsia="zh-CN"/>
              </w:rPr>
            </w:pPr>
            <w:r>
              <w:rPr>
                <w:rFonts w:hint="eastAsia"/>
                <w:lang w:val="en-US" w:eastAsia="zh-CN"/>
              </w:rPr>
              <w:t>21</w:t>
            </w:r>
          </w:p>
        </w:tc>
        <w:tc>
          <w:tcPr>
            <w:tcW w:w="457" w:type="pct"/>
            <w:vAlign w:val="center"/>
          </w:tcPr>
          <w:p>
            <w:pPr>
              <w:jc w:val="center"/>
              <w:rPr>
                <w:rFonts w:hint="default" w:eastAsia="宋体"/>
                <w:lang w:val="en-US" w:eastAsia="zh-CN"/>
              </w:rPr>
            </w:pPr>
            <w:r>
              <w:rPr>
                <w:rFonts w:hint="eastAsia"/>
                <w:lang w:val="en-US" w:eastAsia="zh-CN"/>
              </w:rPr>
              <w:t>58.95</w:t>
            </w:r>
          </w:p>
        </w:tc>
        <w:tc>
          <w:tcPr>
            <w:tcW w:w="528" w:type="pct"/>
            <w:vAlign w:val="center"/>
          </w:tcPr>
          <w:p>
            <w:pPr>
              <w:jc w:val="center"/>
            </w:pPr>
            <w:r>
              <w:rPr>
                <w:rFonts w:hint="eastAsia"/>
                <w:lang w:eastAsia="zh-CN"/>
              </w:rPr>
              <w:t>框剪</w:t>
            </w:r>
          </w:p>
        </w:tc>
        <w:tc>
          <w:tcPr>
            <w:tcW w:w="921" w:type="pct"/>
            <w:vAlign w:val="center"/>
          </w:tcPr>
          <w:p>
            <w:pPr>
              <w:jc w:val="center"/>
            </w:pPr>
            <w:r>
              <w:rPr>
                <w:rFonts w:hint="eastAsia"/>
                <w:lang w:eastAsia="zh-CN"/>
              </w:rPr>
              <w:t>天然地基或桩基础</w:t>
            </w:r>
          </w:p>
        </w:tc>
        <w:tc>
          <w:tcPr>
            <w:tcW w:w="1175" w:type="pct"/>
            <w:vAlign w:val="center"/>
          </w:tcPr>
          <w:p>
            <w:pPr>
              <w:jc w:val="center"/>
              <w:rPr>
                <w:rFonts w:hint="default" w:eastAsia="宋体"/>
                <w:lang w:val="en-US" w:eastAsia="zh-CN"/>
              </w:rPr>
            </w:pPr>
            <w:r>
              <w:rPr>
                <w:rFonts w:hint="eastAsia"/>
                <w:lang w:val="en-US" w:eastAsia="zh-CN"/>
              </w:rPr>
              <w:t>209.40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396" w:type="pct"/>
            <w:vAlign w:val="center"/>
          </w:tcPr>
          <w:p>
            <w:pPr>
              <w:jc w:val="center"/>
            </w:pPr>
            <w:r>
              <w:rPr>
                <w:rFonts w:hint="eastAsia"/>
                <w:lang w:val="en-US" w:eastAsia="zh-CN"/>
              </w:rPr>
              <w:t>16-6</w:t>
            </w:r>
          </w:p>
        </w:tc>
        <w:tc>
          <w:tcPr>
            <w:tcW w:w="694" w:type="pct"/>
            <w:vAlign w:val="center"/>
          </w:tcPr>
          <w:p>
            <w:pPr>
              <w:jc w:val="center"/>
            </w:pPr>
            <w:r>
              <w:rPr>
                <w:rFonts w:hint="eastAsia"/>
                <w:lang w:eastAsia="zh-CN"/>
              </w:rPr>
              <w:t>住宅</w:t>
            </w:r>
          </w:p>
        </w:tc>
        <w:tc>
          <w:tcPr>
            <w:tcW w:w="826" w:type="pct"/>
            <w:vAlign w:val="center"/>
          </w:tcPr>
          <w:p>
            <w:pPr>
              <w:jc w:val="center"/>
              <w:rPr>
                <w:rFonts w:hint="default" w:eastAsia="宋体"/>
                <w:lang w:val="en-US" w:eastAsia="zh-CN"/>
              </w:rPr>
            </w:pPr>
            <w:r>
              <w:rPr>
                <w:rFonts w:hint="eastAsia"/>
                <w:lang w:val="en-US" w:eastAsia="zh-CN"/>
              </w:rPr>
              <w:t>21</w:t>
            </w:r>
          </w:p>
        </w:tc>
        <w:tc>
          <w:tcPr>
            <w:tcW w:w="457" w:type="pct"/>
            <w:vAlign w:val="center"/>
          </w:tcPr>
          <w:p>
            <w:pPr>
              <w:jc w:val="center"/>
              <w:rPr>
                <w:rFonts w:hint="default" w:eastAsia="宋体"/>
                <w:lang w:val="en-US" w:eastAsia="zh-CN"/>
              </w:rPr>
            </w:pPr>
            <w:r>
              <w:rPr>
                <w:rFonts w:hint="eastAsia"/>
                <w:lang w:val="en-US" w:eastAsia="zh-CN"/>
              </w:rPr>
              <w:t>59.95</w:t>
            </w:r>
          </w:p>
        </w:tc>
        <w:tc>
          <w:tcPr>
            <w:tcW w:w="528" w:type="pct"/>
            <w:vAlign w:val="center"/>
          </w:tcPr>
          <w:p>
            <w:pPr>
              <w:jc w:val="center"/>
            </w:pPr>
            <w:r>
              <w:rPr>
                <w:rFonts w:hint="eastAsia"/>
                <w:lang w:eastAsia="zh-CN"/>
              </w:rPr>
              <w:t>框剪</w:t>
            </w:r>
          </w:p>
        </w:tc>
        <w:tc>
          <w:tcPr>
            <w:tcW w:w="921" w:type="pct"/>
            <w:vAlign w:val="center"/>
          </w:tcPr>
          <w:p>
            <w:pPr>
              <w:jc w:val="center"/>
            </w:pPr>
            <w:r>
              <w:rPr>
                <w:rFonts w:hint="eastAsia"/>
                <w:lang w:eastAsia="zh-CN"/>
              </w:rPr>
              <w:t>天然地基或桩基础</w:t>
            </w:r>
          </w:p>
        </w:tc>
        <w:tc>
          <w:tcPr>
            <w:tcW w:w="1175" w:type="pct"/>
            <w:vAlign w:val="center"/>
          </w:tcPr>
          <w:p>
            <w:pPr>
              <w:jc w:val="center"/>
              <w:rPr>
                <w:rFonts w:hint="default" w:eastAsia="宋体"/>
                <w:lang w:val="en-US" w:eastAsia="zh-CN"/>
              </w:rPr>
            </w:pPr>
            <w:r>
              <w:rPr>
                <w:rFonts w:hint="eastAsia"/>
                <w:lang w:val="en-US" w:eastAsia="zh-CN"/>
              </w:rPr>
              <w:t>209.40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396" w:type="pct"/>
            <w:vAlign w:val="center"/>
          </w:tcPr>
          <w:p>
            <w:pPr>
              <w:jc w:val="center"/>
            </w:pPr>
            <w:r>
              <w:rPr>
                <w:rFonts w:hint="eastAsia"/>
                <w:lang w:val="en-US" w:eastAsia="zh-CN"/>
              </w:rPr>
              <w:t>16-7</w:t>
            </w:r>
          </w:p>
        </w:tc>
        <w:tc>
          <w:tcPr>
            <w:tcW w:w="694" w:type="pct"/>
            <w:vAlign w:val="center"/>
          </w:tcPr>
          <w:p>
            <w:pPr>
              <w:jc w:val="center"/>
            </w:pPr>
            <w:r>
              <w:rPr>
                <w:rFonts w:hint="eastAsia"/>
                <w:lang w:eastAsia="zh-CN"/>
              </w:rPr>
              <w:t>住宅</w:t>
            </w:r>
          </w:p>
        </w:tc>
        <w:tc>
          <w:tcPr>
            <w:tcW w:w="826" w:type="pct"/>
            <w:vAlign w:val="center"/>
          </w:tcPr>
          <w:p>
            <w:pPr>
              <w:jc w:val="center"/>
              <w:rPr>
                <w:rFonts w:hint="default" w:eastAsia="宋体"/>
                <w:lang w:val="en-US" w:eastAsia="zh-CN"/>
              </w:rPr>
            </w:pPr>
            <w:r>
              <w:rPr>
                <w:rFonts w:hint="eastAsia"/>
                <w:lang w:val="en-US" w:eastAsia="zh-CN"/>
              </w:rPr>
              <w:t>28</w:t>
            </w:r>
          </w:p>
        </w:tc>
        <w:tc>
          <w:tcPr>
            <w:tcW w:w="457" w:type="pct"/>
            <w:vAlign w:val="center"/>
          </w:tcPr>
          <w:p>
            <w:pPr>
              <w:jc w:val="center"/>
              <w:rPr>
                <w:rFonts w:hint="default" w:eastAsia="宋体"/>
                <w:lang w:val="en-US" w:eastAsia="zh-CN"/>
              </w:rPr>
            </w:pPr>
            <w:r>
              <w:rPr>
                <w:rFonts w:hint="eastAsia"/>
                <w:lang w:val="en-US" w:eastAsia="zh-CN"/>
              </w:rPr>
              <w:t>75.88</w:t>
            </w:r>
          </w:p>
        </w:tc>
        <w:tc>
          <w:tcPr>
            <w:tcW w:w="528" w:type="pct"/>
            <w:vAlign w:val="center"/>
          </w:tcPr>
          <w:p>
            <w:pPr>
              <w:jc w:val="center"/>
            </w:pPr>
            <w:r>
              <w:rPr>
                <w:rFonts w:hint="eastAsia"/>
                <w:lang w:eastAsia="zh-CN"/>
              </w:rPr>
              <w:t>框剪</w:t>
            </w:r>
          </w:p>
        </w:tc>
        <w:tc>
          <w:tcPr>
            <w:tcW w:w="921" w:type="pct"/>
            <w:vAlign w:val="center"/>
          </w:tcPr>
          <w:p>
            <w:pPr>
              <w:jc w:val="center"/>
            </w:pPr>
            <w:r>
              <w:rPr>
                <w:rFonts w:hint="eastAsia"/>
                <w:lang w:eastAsia="zh-CN"/>
              </w:rPr>
              <w:t>天然地基或桩基础</w:t>
            </w:r>
          </w:p>
        </w:tc>
        <w:tc>
          <w:tcPr>
            <w:tcW w:w="1175" w:type="pct"/>
            <w:vAlign w:val="center"/>
          </w:tcPr>
          <w:p>
            <w:pPr>
              <w:jc w:val="center"/>
              <w:rPr>
                <w:rFonts w:hint="default" w:eastAsia="宋体"/>
                <w:lang w:val="en-US" w:eastAsia="zh-CN"/>
              </w:rPr>
            </w:pPr>
            <w:r>
              <w:rPr>
                <w:rFonts w:hint="eastAsia"/>
                <w:lang w:val="en-US" w:eastAsia="zh-CN"/>
              </w:rPr>
              <w:t>209.05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396" w:type="pct"/>
            <w:vAlign w:val="center"/>
          </w:tcPr>
          <w:p>
            <w:pPr>
              <w:jc w:val="center"/>
              <w:rPr>
                <w:rFonts w:hint="default" w:eastAsia="宋体"/>
                <w:lang w:val="en-US" w:eastAsia="zh-CN"/>
              </w:rPr>
            </w:pPr>
            <w:r>
              <w:rPr>
                <w:rFonts w:hint="eastAsia"/>
                <w:lang w:val="en-US" w:eastAsia="zh-CN"/>
              </w:rPr>
              <w:t>16-8</w:t>
            </w:r>
          </w:p>
        </w:tc>
        <w:tc>
          <w:tcPr>
            <w:tcW w:w="694" w:type="pct"/>
            <w:vAlign w:val="center"/>
          </w:tcPr>
          <w:p>
            <w:pPr>
              <w:jc w:val="center"/>
            </w:pPr>
            <w:r>
              <w:rPr>
                <w:rFonts w:hint="eastAsia"/>
                <w:lang w:eastAsia="zh-CN"/>
              </w:rPr>
              <w:t>住宅</w:t>
            </w:r>
          </w:p>
        </w:tc>
        <w:tc>
          <w:tcPr>
            <w:tcW w:w="826" w:type="pct"/>
            <w:vAlign w:val="center"/>
          </w:tcPr>
          <w:p>
            <w:pPr>
              <w:jc w:val="center"/>
              <w:rPr>
                <w:rFonts w:hint="default" w:eastAsia="宋体"/>
                <w:lang w:val="en-US" w:eastAsia="zh-CN"/>
              </w:rPr>
            </w:pPr>
            <w:r>
              <w:rPr>
                <w:rFonts w:hint="eastAsia"/>
                <w:lang w:val="en-US" w:eastAsia="zh-CN"/>
              </w:rPr>
              <w:t>22</w:t>
            </w:r>
          </w:p>
        </w:tc>
        <w:tc>
          <w:tcPr>
            <w:tcW w:w="457" w:type="pct"/>
            <w:vAlign w:val="center"/>
          </w:tcPr>
          <w:p>
            <w:pPr>
              <w:jc w:val="center"/>
              <w:rPr>
                <w:rFonts w:hint="default" w:eastAsia="宋体"/>
                <w:lang w:val="en-US" w:eastAsia="zh-CN"/>
              </w:rPr>
            </w:pPr>
            <w:r>
              <w:rPr>
                <w:rFonts w:hint="eastAsia"/>
                <w:lang w:val="en-US" w:eastAsia="zh-CN"/>
              </w:rPr>
              <w:t>61.75</w:t>
            </w:r>
          </w:p>
        </w:tc>
        <w:tc>
          <w:tcPr>
            <w:tcW w:w="528" w:type="pct"/>
            <w:vAlign w:val="center"/>
          </w:tcPr>
          <w:p>
            <w:pPr>
              <w:jc w:val="center"/>
            </w:pPr>
            <w:r>
              <w:rPr>
                <w:rFonts w:hint="eastAsia"/>
                <w:lang w:eastAsia="zh-CN"/>
              </w:rPr>
              <w:t>框剪</w:t>
            </w:r>
          </w:p>
        </w:tc>
        <w:tc>
          <w:tcPr>
            <w:tcW w:w="921" w:type="pct"/>
            <w:vAlign w:val="center"/>
          </w:tcPr>
          <w:p>
            <w:pPr>
              <w:jc w:val="center"/>
            </w:pPr>
            <w:r>
              <w:rPr>
                <w:rFonts w:hint="eastAsia"/>
                <w:lang w:eastAsia="zh-CN"/>
              </w:rPr>
              <w:t>天然地基或桩基础</w:t>
            </w:r>
          </w:p>
        </w:tc>
        <w:tc>
          <w:tcPr>
            <w:tcW w:w="1175" w:type="pct"/>
            <w:vAlign w:val="center"/>
          </w:tcPr>
          <w:p>
            <w:pPr>
              <w:jc w:val="center"/>
              <w:rPr>
                <w:rFonts w:hint="default" w:eastAsia="宋体"/>
                <w:lang w:val="en-US" w:eastAsia="zh-CN"/>
              </w:rPr>
            </w:pPr>
            <w:r>
              <w:rPr>
                <w:rFonts w:hint="eastAsia"/>
                <w:lang w:val="en-US" w:eastAsia="zh-CN"/>
              </w:rPr>
              <w:t>209.40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396" w:type="pct"/>
            <w:vAlign w:val="center"/>
          </w:tcPr>
          <w:p>
            <w:pPr>
              <w:jc w:val="center"/>
              <w:rPr>
                <w:rFonts w:hint="default" w:eastAsia="宋体"/>
                <w:lang w:val="en-US" w:eastAsia="zh-CN"/>
              </w:rPr>
            </w:pPr>
            <w:r>
              <w:rPr>
                <w:rFonts w:hint="eastAsia"/>
                <w:lang w:val="en-US" w:eastAsia="zh-CN"/>
              </w:rPr>
              <w:t>16-9</w:t>
            </w:r>
          </w:p>
        </w:tc>
        <w:tc>
          <w:tcPr>
            <w:tcW w:w="694" w:type="pct"/>
            <w:vAlign w:val="center"/>
          </w:tcPr>
          <w:p>
            <w:pPr>
              <w:jc w:val="center"/>
            </w:pPr>
            <w:r>
              <w:rPr>
                <w:rFonts w:hint="eastAsia"/>
                <w:lang w:eastAsia="zh-CN"/>
              </w:rPr>
              <w:t>住宅</w:t>
            </w:r>
          </w:p>
        </w:tc>
        <w:tc>
          <w:tcPr>
            <w:tcW w:w="826" w:type="pct"/>
            <w:vAlign w:val="center"/>
          </w:tcPr>
          <w:p>
            <w:pPr>
              <w:jc w:val="center"/>
              <w:rPr>
                <w:rFonts w:hint="default" w:eastAsia="宋体"/>
                <w:lang w:val="en-US" w:eastAsia="zh-CN"/>
              </w:rPr>
            </w:pPr>
            <w:r>
              <w:rPr>
                <w:rFonts w:hint="eastAsia"/>
                <w:lang w:val="en-US" w:eastAsia="zh-CN"/>
              </w:rPr>
              <w:t>25</w:t>
            </w:r>
          </w:p>
        </w:tc>
        <w:tc>
          <w:tcPr>
            <w:tcW w:w="457" w:type="pct"/>
            <w:vAlign w:val="center"/>
          </w:tcPr>
          <w:p>
            <w:pPr>
              <w:jc w:val="center"/>
              <w:rPr>
                <w:rFonts w:hint="default" w:eastAsia="宋体"/>
                <w:lang w:val="en-US" w:eastAsia="zh-CN"/>
              </w:rPr>
            </w:pPr>
            <w:r>
              <w:rPr>
                <w:rFonts w:hint="eastAsia"/>
                <w:lang w:val="en-US" w:eastAsia="zh-CN"/>
              </w:rPr>
              <w:t>70.15</w:t>
            </w:r>
          </w:p>
        </w:tc>
        <w:tc>
          <w:tcPr>
            <w:tcW w:w="528" w:type="pct"/>
            <w:vAlign w:val="center"/>
          </w:tcPr>
          <w:p>
            <w:pPr>
              <w:jc w:val="center"/>
            </w:pPr>
            <w:r>
              <w:rPr>
                <w:rFonts w:hint="eastAsia"/>
                <w:lang w:eastAsia="zh-CN"/>
              </w:rPr>
              <w:t>框剪</w:t>
            </w:r>
          </w:p>
        </w:tc>
        <w:tc>
          <w:tcPr>
            <w:tcW w:w="921" w:type="pct"/>
            <w:vAlign w:val="center"/>
          </w:tcPr>
          <w:p>
            <w:pPr>
              <w:jc w:val="center"/>
            </w:pPr>
            <w:r>
              <w:rPr>
                <w:rFonts w:hint="eastAsia"/>
                <w:lang w:eastAsia="zh-CN"/>
              </w:rPr>
              <w:t>天然地基或桩基础</w:t>
            </w:r>
          </w:p>
        </w:tc>
        <w:tc>
          <w:tcPr>
            <w:tcW w:w="1175" w:type="pct"/>
            <w:vAlign w:val="center"/>
          </w:tcPr>
          <w:p>
            <w:pPr>
              <w:jc w:val="center"/>
              <w:rPr>
                <w:rFonts w:hint="default" w:eastAsia="宋体"/>
                <w:lang w:val="en-US" w:eastAsia="zh-CN"/>
              </w:rPr>
            </w:pPr>
            <w:r>
              <w:rPr>
                <w:rFonts w:hint="eastAsia"/>
                <w:lang w:val="en-US" w:eastAsia="zh-CN"/>
              </w:rPr>
              <w:t>209.40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396" w:type="pct"/>
            <w:vAlign w:val="center"/>
          </w:tcPr>
          <w:p>
            <w:pPr>
              <w:jc w:val="center"/>
              <w:rPr>
                <w:rFonts w:hint="default" w:eastAsia="宋体"/>
                <w:lang w:val="en-US" w:eastAsia="zh-CN"/>
              </w:rPr>
            </w:pPr>
            <w:r>
              <w:rPr>
                <w:rFonts w:hint="eastAsia"/>
                <w:lang w:val="en-US" w:eastAsia="zh-CN"/>
              </w:rPr>
              <w:t>16-10</w:t>
            </w:r>
          </w:p>
        </w:tc>
        <w:tc>
          <w:tcPr>
            <w:tcW w:w="694" w:type="pct"/>
            <w:vAlign w:val="center"/>
          </w:tcPr>
          <w:p>
            <w:pPr>
              <w:jc w:val="center"/>
            </w:pPr>
            <w:r>
              <w:rPr>
                <w:rFonts w:hint="eastAsia"/>
                <w:lang w:eastAsia="zh-CN"/>
              </w:rPr>
              <w:t>住宅</w:t>
            </w:r>
          </w:p>
        </w:tc>
        <w:tc>
          <w:tcPr>
            <w:tcW w:w="826" w:type="pct"/>
            <w:vAlign w:val="center"/>
          </w:tcPr>
          <w:p>
            <w:pPr>
              <w:jc w:val="center"/>
              <w:rPr>
                <w:rFonts w:hint="default" w:eastAsia="宋体"/>
                <w:lang w:val="en-US" w:eastAsia="zh-CN"/>
              </w:rPr>
            </w:pPr>
            <w:r>
              <w:rPr>
                <w:rFonts w:hint="eastAsia"/>
                <w:lang w:val="en-US" w:eastAsia="zh-CN"/>
              </w:rPr>
              <w:t>28</w:t>
            </w:r>
          </w:p>
        </w:tc>
        <w:tc>
          <w:tcPr>
            <w:tcW w:w="457" w:type="pct"/>
            <w:vAlign w:val="center"/>
          </w:tcPr>
          <w:p>
            <w:pPr>
              <w:jc w:val="center"/>
              <w:rPr>
                <w:rFonts w:hint="default" w:eastAsia="宋体"/>
                <w:lang w:val="en-US" w:eastAsia="zh-CN"/>
              </w:rPr>
            </w:pPr>
            <w:r>
              <w:rPr>
                <w:rFonts w:hint="eastAsia"/>
                <w:lang w:val="en-US" w:eastAsia="zh-CN"/>
              </w:rPr>
              <w:t>78.55</w:t>
            </w:r>
          </w:p>
        </w:tc>
        <w:tc>
          <w:tcPr>
            <w:tcW w:w="528" w:type="pct"/>
            <w:vAlign w:val="center"/>
          </w:tcPr>
          <w:p>
            <w:pPr>
              <w:jc w:val="center"/>
            </w:pPr>
            <w:r>
              <w:rPr>
                <w:rFonts w:hint="eastAsia"/>
                <w:lang w:eastAsia="zh-CN"/>
              </w:rPr>
              <w:t>框剪</w:t>
            </w:r>
          </w:p>
        </w:tc>
        <w:tc>
          <w:tcPr>
            <w:tcW w:w="921" w:type="pct"/>
            <w:vAlign w:val="center"/>
          </w:tcPr>
          <w:p>
            <w:pPr>
              <w:jc w:val="center"/>
            </w:pPr>
            <w:r>
              <w:rPr>
                <w:rFonts w:hint="eastAsia"/>
                <w:lang w:eastAsia="zh-CN"/>
              </w:rPr>
              <w:t>天然地基或桩基础</w:t>
            </w:r>
          </w:p>
        </w:tc>
        <w:tc>
          <w:tcPr>
            <w:tcW w:w="1175" w:type="pct"/>
            <w:vAlign w:val="center"/>
          </w:tcPr>
          <w:p>
            <w:pPr>
              <w:jc w:val="center"/>
              <w:rPr>
                <w:rFonts w:hint="default" w:eastAsia="宋体"/>
                <w:lang w:val="en-US" w:eastAsia="zh-CN"/>
              </w:rPr>
            </w:pPr>
            <w:r>
              <w:rPr>
                <w:rFonts w:hint="eastAsia"/>
                <w:lang w:val="en-US" w:eastAsia="zh-CN"/>
              </w:rPr>
              <w:t>209.40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396" w:type="pct"/>
            <w:vAlign w:val="center"/>
          </w:tcPr>
          <w:p>
            <w:pPr>
              <w:jc w:val="center"/>
              <w:rPr>
                <w:rFonts w:hint="default"/>
                <w:lang w:val="en-US"/>
              </w:rPr>
            </w:pPr>
            <w:r>
              <w:rPr>
                <w:rFonts w:hint="eastAsia"/>
                <w:lang w:val="en-US" w:eastAsia="zh-CN"/>
              </w:rPr>
              <w:t>16-11</w:t>
            </w:r>
          </w:p>
        </w:tc>
        <w:tc>
          <w:tcPr>
            <w:tcW w:w="694" w:type="pct"/>
            <w:vAlign w:val="center"/>
          </w:tcPr>
          <w:p>
            <w:pPr>
              <w:jc w:val="center"/>
            </w:pPr>
            <w:r>
              <w:rPr>
                <w:rFonts w:hint="eastAsia"/>
                <w:lang w:eastAsia="zh-CN"/>
              </w:rPr>
              <w:t>住宅</w:t>
            </w:r>
          </w:p>
        </w:tc>
        <w:tc>
          <w:tcPr>
            <w:tcW w:w="826" w:type="pct"/>
            <w:vAlign w:val="center"/>
          </w:tcPr>
          <w:p>
            <w:pPr>
              <w:jc w:val="center"/>
              <w:rPr>
                <w:rFonts w:hint="default" w:eastAsia="宋体"/>
                <w:lang w:val="en-US" w:eastAsia="zh-CN"/>
              </w:rPr>
            </w:pPr>
            <w:r>
              <w:rPr>
                <w:rFonts w:hint="eastAsia"/>
                <w:lang w:val="en-US" w:eastAsia="zh-CN"/>
              </w:rPr>
              <w:t>25</w:t>
            </w:r>
          </w:p>
        </w:tc>
        <w:tc>
          <w:tcPr>
            <w:tcW w:w="457" w:type="pct"/>
            <w:vAlign w:val="center"/>
          </w:tcPr>
          <w:p>
            <w:pPr>
              <w:jc w:val="center"/>
              <w:rPr>
                <w:rFonts w:hint="default" w:eastAsia="宋体"/>
                <w:lang w:val="en-US" w:eastAsia="zh-CN"/>
              </w:rPr>
            </w:pPr>
            <w:r>
              <w:rPr>
                <w:rFonts w:hint="eastAsia"/>
                <w:lang w:val="en-US" w:eastAsia="zh-CN"/>
              </w:rPr>
              <w:t>70.15</w:t>
            </w:r>
          </w:p>
        </w:tc>
        <w:tc>
          <w:tcPr>
            <w:tcW w:w="528" w:type="pct"/>
            <w:vAlign w:val="center"/>
          </w:tcPr>
          <w:p>
            <w:pPr>
              <w:jc w:val="center"/>
            </w:pPr>
            <w:r>
              <w:rPr>
                <w:rFonts w:hint="eastAsia"/>
                <w:lang w:eastAsia="zh-CN"/>
              </w:rPr>
              <w:t>框剪</w:t>
            </w:r>
          </w:p>
        </w:tc>
        <w:tc>
          <w:tcPr>
            <w:tcW w:w="921" w:type="pct"/>
            <w:vAlign w:val="center"/>
          </w:tcPr>
          <w:p>
            <w:pPr>
              <w:jc w:val="center"/>
            </w:pPr>
            <w:r>
              <w:rPr>
                <w:rFonts w:hint="eastAsia"/>
                <w:lang w:eastAsia="zh-CN"/>
              </w:rPr>
              <w:t>天然地基或桩基础</w:t>
            </w:r>
          </w:p>
        </w:tc>
        <w:tc>
          <w:tcPr>
            <w:tcW w:w="1175" w:type="pct"/>
            <w:vAlign w:val="center"/>
          </w:tcPr>
          <w:p>
            <w:pPr>
              <w:jc w:val="center"/>
              <w:rPr>
                <w:rFonts w:hint="default" w:eastAsia="宋体"/>
                <w:lang w:val="en-US" w:eastAsia="zh-CN"/>
              </w:rPr>
            </w:pPr>
            <w:r>
              <w:rPr>
                <w:rFonts w:hint="eastAsia"/>
                <w:lang w:val="en-US" w:eastAsia="zh-CN"/>
              </w:rPr>
              <w:t>209.60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396" w:type="pct"/>
            <w:vAlign w:val="center"/>
          </w:tcPr>
          <w:p>
            <w:pPr>
              <w:jc w:val="center"/>
              <w:rPr>
                <w:rFonts w:hint="default"/>
                <w:lang w:val="en-US"/>
              </w:rPr>
            </w:pPr>
            <w:r>
              <w:rPr>
                <w:rFonts w:hint="eastAsia"/>
                <w:lang w:val="en-US" w:eastAsia="zh-CN"/>
              </w:rPr>
              <w:t>16-12</w:t>
            </w:r>
          </w:p>
        </w:tc>
        <w:tc>
          <w:tcPr>
            <w:tcW w:w="694" w:type="pct"/>
            <w:vAlign w:val="center"/>
          </w:tcPr>
          <w:p>
            <w:pPr>
              <w:jc w:val="center"/>
            </w:pPr>
            <w:r>
              <w:rPr>
                <w:rFonts w:hint="eastAsia"/>
                <w:lang w:eastAsia="zh-CN"/>
              </w:rPr>
              <w:t>住宅</w:t>
            </w:r>
          </w:p>
        </w:tc>
        <w:tc>
          <w:tcPr>
            <w:tcW w:w="826" w:type="pct"/>
            <w:vAlign w:val="center"/>
          </w:tcPr>
          <w:p>
            <w:pPr>
              <w:jc w:val="center"/>
              <w:rPr>
                <w:rFonts w:hint="default" w:eastAsia="宋体"/>
                <w:lang w:val="en-US" w:eastAsia="zh-CN"/>
              </w:rPr>
            </w:pPr>
            <w:r>
              <w:rPr>
                <w:rFonts w:hint="eastAsia"/>
                <w:lang w:val="en-US" w:eastAsia="zh-CN"/>
              </w:rPr>
              <w:t>28</w:t>
            </w:r>
          </w:p>
        </w:tc>
        <w:tc>
          <w:tcPr>
            <w:tcW w:w="457" w:type="pct"/>
            <w:vAlign w:val="center"/>
          </w:tcPr>
          <w:p>
            <w:pPr>
              <w:jc w:val="center"/>
              <w:rPr>
                <w:rFonts w:hint="default" w:eastAsia="宋体"/>
                <w:lang w:val="en-US" w:eastAsia="zh-CN"/>
              </w:rPr>
            </w:pPr>
            <w:r>
              <w:rPr>
                <w:rFonts w:hint="eastAsia"/>
                <w:lang w:val="en-US" w:eastAsia="zh-CN"/>
              </w:rPr>
              <w:t>78.55</w:t>
            </w:r>
          </w:p>
        </w:tc>
        <w:tc>
          <w:tcPr>
            <w:tcW w:w="528" w:type="pct"/>
            <w:vAlign w:val="center"/>
          </w:tcPr>
          <w:p>
            <w:pPr>
              <w:jc w:val="center"/>
            </w:pPr>
            <w:r>
              <w:rPr>
                <w:rFonts w:hint="eastAsia"/>
                <w:lang w:eastAsia="zh-CN"/>
              </w:rPr>
              <w:t>框剪</w:t>
            </w:r>
          </w:p>
        </w:tc>
        <w:tc>
          <w:tcPr>
            <w:tcW w:w="921" w:type="pct"/>
            <w:vAlign w:val="center"/>
          </w:tcPr>
          <w:p>
            <w:pPr>
              <w:jc w:val="center"/>
            </w:pPr>
            <w:r>
              <w:rPr>
                <w:rFonts w:hint="eastAsia"/>
                <w:lang w:eastAsia="zh-CN"/>
              </w:rPr>
              <w:t>天然地基或桩基础</w:t>
            </w:r>
          </w:p>
        </w:tc>
        <w:tc>
          <w:tcPr>
            <w:tcW w:w="1175" w:type="pct"/>
            <w:vAlign w:val="center"/>
          </w:tcPr>
          <w:p>
            <w:pPr>
              <w:jc w:val="center"/>
              <w:rPr>
                <w:rFonts w:hint="default" w:eastAsia="宋体"/>
                <w:lang w:val="en-US" w:eastAsia="zh-CN"/>
              </w:rPr>
            </w:pPr>
            <w:r>
              <w:rPr>
                <w:rFonts w:hint="eastAsia"/>
                <w:lang w:val="en-US" w:eastAsia="zh-CN"/>
              </w:rPr>
              <w:t>209.60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396" w:type="pct"/>
            <w:vAlign w:val="center"/>
          </w:tcPr>
          <w:p>
            <w:pPr>
              <w:jc w:val="center"/>
              <w:rPr>
                <w:rFonts w:hint="default"/>
                <w:lang w:val="en-US"/>
              </w:rPr>
            </w:pPr>
            <w:r>
              <w:rPr>
                <w:rFonts w:hint="eastAsia"/>
                <w:lang w:val="en-US" w:eastAsia="zh-CN"/>
              </w:rPr>
              <w:t>16-13</w:t>
            </w:r>
          </w:p>
        </w:tc>
        <w:tc>
          <w:tcPr>
            <w:tcW w:w="694" w:type="pct"/>
            <w:vAlign w:val="center"/>
          </w:tcPr>
          <w:p>
            <w:pPr>
              <w:jc w:val="center"/>
              <w:rPr>
                <w:rFonts w:hint="eastAsia" w:eastAsia="宋体"/>
                <w:lang w:eastAsia="zh-CN"/>
              </w:rPr>
            </w:pPr>
            <w:r>
              <w:rPr>
                <w:rFonts w:hint="eastAsia"/>
                <w:lang w:eastAsia="zh-CN"/>
              </w:rPr>
              <w:t>住宅</w:t>
            </w:r>
          </w:p>
        </w:tc>
        <w:tc>
          <w:tcPr>
            <w:tcW w:w="826" w:type="pct"/>
            <w:vAlign w:val="center"/>
          </w:tcPr>
          <w:p>
            <w:pPr>
              <w:jc w:val="center"/>
              <w:rPr>
                <w:rFonts w:hint="default" w:eastAsia="宋体"/>
                <w:lang w:val="en-US" w:eastAsia="zh-CN"/>
              </w:rPr>
            </w:pPr>
            <w:r>
              <w:rPr>
                <w:rFonts w:hint="eastAsia"/>
                <w:lang w:val="en-US" w:eastAsia="zh-CN"/>
              </w:rPr>
              <w:t>25</w:t>
            </w:r>
          </w:p>
        </w:tc>
        <w:tc>
          <w:tcPr>
            <w:tcW w:w="457" w:type="pct"/>
            <w:vAlign w:val="center"/>
          </w:tcPr>
          <w:p>
            <w:pPr>
              <w:jc w:val="center"/>
              <w:rPr>
                <w:rFonts w:hint="default" w:eastAsia="宋体"/>
                <w:lang w:val="en-US" w:eastAsia="zh-CN"/>
              </w:rPr>
            </w:pPr>
            <w:r>
              <w:rPr>
                <w:rFonts w:hint="eastAsia"/>
                <w:lang w:val="en-US" w:eastAsia="zh-CN"/>
              </w:rPr>
              <w:t>58.95</w:t>
            </w:r>
          </w:p>
        </w:tc>
        <w:tc>
          <w:tcPr>
            <w:tcW w:w="528" w:type="pct"/>
            <w:vAlign w:val="center"/>
          </w:tcPr>
          <w:p>
            <w:pPr>
              <w:jc w:val="center"/>
            </w:pPr>
            <w:r>
              <w:rPr>
                <w:rFonts w:hint="eastAsia"/>
                <w:lang w:eastAsia="zh-CN"/>
              </w:rPr>
              <w:t>框剪</w:t>
            </w:r>
          </w:p>
        </w:tc>
        <w:tc>
          <w:tcPr>
            <w:tcW w:w="921" w:type="pct"/>
            <w:vAlign w:val="center"/>
          </w:tcPr>
          <w:p>
            <w:pPr>
              <w:jc w:val="center"/>
            </w:pPr>
            <w:r>
              <w:rPr>
                <w:rFonts w:hint="eastAsia"/>
                <w:lang w:eastAsia="zh-CN"/>
              </w:rPr>
              <w:t>天然地基或桩基础</w:t>
            </w:r>
          </w:p>
        </w:tc>
        <w:tc>
          <w:tcPr>
            <w:tcW w:w="1175" w:type="pct"/>
            <w:vAlign w:val="center"/>
          </w:tcPr>
          <w:p>
            <w:pPr>
              <w:jc w:val="center"/>
              <w:rPr>
                <w:rFonts w:hint="default" w:eastAsia="宋体"/>
                <w:lang w:val="en-US" w:eastAsia="zh-CN"/>
              </w:rPr>
            </w:pPr>
            <w:r>
              <w:rPr>
                <w:rFonts w:hint="eastAsia"/>
                <w:lang w:val="en-US" w:eastAsia="zh-CN"/>
              </w:rPr>
              <w:t>209.60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396" w:type="pct"/>
            <w:vAlign w:val="center"/>
          </w:tcPr>
          <w:p>
            <w:pPr>
              <w:jc w:val="center"/>
              <w:rPr>
                <w:rFonts w:hint="default" w:eastAsia="宋体"/>
                <w:lang w:val="en-US" w:eastAsia="zh-CN"/>
              </w:rPr>
            </w:pPr>
            <w:r>
              <w:rPr>
                <w:rFonts w:hint="eastAsia"/>
                <w:lang w:val="en-US" w:eastAsia="zh-CN"/>
              </w:rPr>
              <w:t>16-15</w:t>
            </w:r>
          </w:p>
        </w:tc>
        <w:tc>
          <w:tcPr>
            <w:tcW w:w="694" w:type="pct"/>
            <w:vAlign w:val="center"/>
          </w:tcPr>
          <w:p>
            <w:pPr>
              <w:jc w:val="center"/>
              <w:rPr>
                <w:rFonts w:hint="eastAsia" w:eastAsia="宋体"/>
                <w:lang w:eastAsia="zh-CN"/>
              </w:rPr>
            </w:pPr>
            <w:r>
              <w:rPr>
                <w:rFonts w:hint="eastAsia"/>
                <w:lang w:eastAsia="zh-CN"/>
              </w:rPr>
              <w:t>住宅</w:t>
            </w:r>
          </w:p>
        </w:tc>
        <w:tc>
          <w:tcPr>
            <w:tcW w:w="826" w:type="pct"/>
            <w:vAlign w:val="center"/>
          </w:tcPr>
          <w:p>
            <w:pPr>
              <w:jc w:val="center"/>
              <w:rPr>
                <w:rFonts w:hint="default" w:eastAsia="宋体"/>
                <w:lang w:val="en-US" w:eastAsia="zh-CN"/>
              </w:rPr>
            </w:pPr>
            <w:r>
              <w:rPr>
                <w:rFonts w:hint="eastAsia"/>
                <w:lang w:val="en-US" w:eastAsia="zh-CN"/>
              </w:rPr>
              <w:t>25</w:t>
            </w:r>
          </w:p>
        </w:tc>
        <w:tc>
          <w:tcPr>
            <w:tcW w:w="457" w:type="pct"/>
            <w:vAlign w:val="center"/>
          </w:tcPr>
          <w:p>
            <w:pPr>
              <w:jc w:val="center"/>
              <w:rPr>
                <w:rFonts w:hint="default" w:eastAsia="宋体"/>
                <w:lang w:val="en-US" w:eastAsia="zh-CN"/>
              </w:rPr>
            </w:pPr>
            <w:r>
              <w:rPr>
                <w:rFonts w:hint="eastAsia"/>
                <w:lang w:val="en-US" w:eastAsia="zh-CN"/>
              </w:rPr>
              <w:t>70.15</w:t>
            </w:r>
          </w:p>
        </w:tc>
        <w:tc>
          <w:tcPr>
            <w:tcW w:w="528" w:type="pct"/>
            <w:vAlign w:val="center"/>
          </w:tcPr>
          <w:p>
            <w:pPr>
              <w:jc w:val="center"/>
              <w:rPr>
                <w:rFonts w:hint="eastAsia"/>
              </w:rPr>
            </w:pPr>
            <w:r>
              <w:rPr>
                <w:rFonts w:hint="eastAsia"/>
                <w:lang w:eastAsia="zh-CN"/>
              </w:rPr>
              <w:t>框剪</w:t>
            </w:r>
          </w:p>
        </w:tc>
        <w:tc>
          <w:tcPr>
            <w:tcW w:w="921" w:type="pct"/>
            <w:vAlign w:val="center"/>
          </w:tcPr>
          <w:p>
            <w:pPr>
              <w:jc w:val="center"/>
            </w:pPr>
            <w:r>
              <w:rPr>
                <w:rFonts w:hint="eastAsia"/>
                <w:lang w:eastAsia="zh-CN"/>
              </w:rPr>
              <w:t>天然地基或桩基础</w:t>
            </w:r>
          </w:p>
        </w:tc>
        <w:tc>
          <w:tcPr>
            <w:tcW w:w="1175" w:type="pct"/>
            <w:vAlign w:val="center"/>
          </w:tcPr>
          <w:p>
            <w:pPr>
              <w:jc w:val="center"/>
              <w:rPr>
                <w:rFonts w:hint="default" w:eastAsia="宋体"/>
                <w:lang w:val="en-US" w:eastAsia="zh-CN"/>
              </w:rPr>
            </w:pPr>
            <w:r>
              <w:rPr>
                <w:rFonts w:hint="eastAsia"/>
                <w:lang w:val="en-US" w:eastAsia="zh-CN"/>
              </w:rPr>
              <w:t>209.40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396" w:type="pct"/>
            <w:vAlign w:val="center"/>
          </w:tcPr>
          <w:p>
            <w:pPr>
              <w:jc w:val="center"/>
              <w:rPr>
                <w:rFonts w:hint="default"/>
                <w:lang w:val="en-US"/>
              </w:rPr>
            </w:pPr>
            <w:r>
              <w:rPr>
                <w:rFonts w:hint="eastAsia"/>
                <w:lang w:val="en-US" w:eastAsia="zh-CN"/>
              </w:rPr>
              <w:t>16-16</w:t>
            </w:r>
          </w:p>
        </w:tc>
        <w:tc>
          <w:tcPr>
            <w:tcW w:w="694" w:type="pct"/>
            <w:vAlign w:val="center"/>
          </w:tcPr>
          <w:p>
            <w:pPr>
              <w:jc w:val="center"/>
              <w:rPr>
                <w:rFonts w:hint="eastAsia" w:eastAsia="宋体"/>
                <w:lang w:eastAsia="zh-CN"/>
              </w:rPr>
            </w:pPr>
            <w:r>
              <w:rPr>
                <w:rFonts w:hint="eastAsia"/>
                <w:lang w:eastAsia="zh-CN"/>
              </w:rPr>
              <w:t>住宅</w:t>
            </w:r>
          </w:p>
        </w:tc>
        <w:tc>
          <w:tcPr>
            <w:tcW w:w="826" w:type="pct"/>
            <w:vAlign w:val="center"/>
          </w:tcPr>
          <w:p>
            <w:pPr>
              <w:jc w:val="center"/>
              <w:rPr>
                <w:rFonts w:hint="default" w:eastAsia="宋体"/>
                <w:lang w:val="en-US" w:eastAsia="zh-CN"/>
              </w:rPr>
            </w:pPr>
            <w:r>
              <w:rPr>
                <w:rFonts w:hint="eastAsia"/>
                <w:lang w:val="en-US" w:eastAsia="zh-CN"/>
              </w:rPr>
              <w:t>28</w:t>
            </w:r>
          </w:p>
        </w:tc>
        <w:tc>
          <w:tcPr>
            <w:tcW w:w="457" w:type="pct"/>
            <w:vAlign w:val="center"/>
          </w:tcPr>
          <w:p>
            <w:pPr>
              <w:jc w:val="center"/>
              <w:rPr>
                <w:rFonts w:hint="default" w:eastAsia="宋体"/>
                <w:lang w:val="en-US" w:eastAsia="zh-CN"/>
              </w:rPr>
            </w:pPr>
            <w:r>
              <w:rPr>
                <w:rFonts w:hint="eastAsia"/>
                <w:lang w:val="en-US" w:eastAsia="zh-CN"/>
              </w:rPr>
              <w:t>78.55</w:t>
            </w:r>
          </w:p>
        </w:tc>
        <w:tc>
          <w:tcPr>
            <w:tcW w:w="528" w:type="pct"/>
            <w:vAlign w:val="center"/>
          </w:tcPr>
          <w:p>
            <w:pPr>
              <w:jc w:val="center"/>
            </w:pPr>
            <w:r>
              <w:rPr>
                <w:rFonts w:hint="eastAsia"/>
                <w:lang w:eastAsia="zh-CN"/>
              </w:rPr>
              <w:t>框剪</w:t>
            </w:r>
          </w:p>
        </w:tc>
        <w:tc>
          <w:tcPr>
            <w:tcW w:w="921" w:type="pct"/>
            <w:vAlign w:val="center"/>
          </w:tcPr>
          <w:p>
            <w:pPr>
              <w:jc w:val="center"/>
            </w:pPr>
            <w:r>
              <w:rPr>
                <w:rFonts w:hint="eastAsia"/>
                <w:lang w:eastAsia="zh-CN"/>
              </w:rPr>
              <w:t>天然地基或桩基础</w:t>
            </w:r>
          </w:p>
        </w:tc>
        <w:tc>
          <w:tcPr>
            <w:tcW w:w="1175" w:type="pct"/>
            <w:vAlign w:val="center"/>
          </w:tcPr>
          <w:p>
            <w:pPr>
              <w:jc w:val="center"/>
              <w:rPr>
                <w:rFonts w:hint="default" w:eastAsia="宋体"/>
                <w:lang w:val="en-US" w:eastAsia="zh-CN"/>
              </w:rPr>
            </w:pPr>
            <w:r>
              <w:rPr>
                <w:rFonts w:hint="eastAsia"/>
                <w:lang w:val="en-US" w:eastAsia="zh-CN"/>
              </w:rPr>
              <w:t>209.40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396" w:type="pct"/>
            <w:vAlign w:val="center"/>
          </w:tcPr>
          <w:p>
            <w:pPr>
              <w:jc w:val="center"/>
              <w:rPr>
                <w:rFonts w:hint="default"/>
                <w:lang w:val="en-US"/>
              </w:rPr>
            </w:pPr>
            <w:r>
              <w:rPr>
                <w:rFonts w:hint="eastAsia"/>
                <w:lang w:val="en-US" w:eastAsia="zh-CN"/>
              </w:rPr>
              <w:t>16-17</w:t>
            </w:r>
          </w:p>
        </w:tc>
        <w:tc>
          <w:tcPr>
            <w:tcW w:w="694" w:type="pct"/>
            <w:vAlign w:val="center"/>
          </w:tcPr>
          <w:p>
            <w:pPr>
              <w:jc w:val="center"/>
              <w:rPr>
                <w:rFonts w:hint="eastAsia" w:eastAsia="宋体"/>
                <w:lang w:eastAsia="zh-CN"/>
              </w:rPr>
            </w:pPr>
            <w:r>
              <w:rPr>
                <w:rFonts w:hint="eastAsia"/>
                <w:lang w:eastAsia="zh-CN"/>
              </w:rPr>
              <w:t>住宅</w:t>
            </w:r>
          </w:p>
        </w:tc>
        <w:tc>
          <w:tcPr>
            <w:tcW w:w="826" w:type="pct"/>
            <w:vAlign w:val="center"/>
          </w:tcPr>
          <w:p>
            <w:pPr>
              <w:jc w:val="center"/>
              <w:rPr>
                <w:rFonts w:hint="default" w:eastAsia="宋体"/>
                <w:lang w:val="en-US" w:eastAsia="zh-CN"/>
              </w:rPr>
            </w:pPr>
            <w:r>
              <w:rPr>
                <w:rFonts w:hint="eastAsia"/>
                <w:lang w:val="en-US" w:eastAsia="zh-CN"/>
              </w:rPr>
              <w:t>28</w:t>
            </w:r>
          </w:p>
        </w:tc>
        <w:tc>
          <w:tcPr>
            <w:tcW w:w="457" w:type="pct"/>
            <w:vAlign w:val="center"/>
          </w:tcPr>
          <w:p>
            <w:pPr>
              <w:jc w:val="center"/>
              <w:rPr>
                <w:rFonts w:hint="default" w:eastAsia="宋体"/>
                <w:lang w:val="en-US" w:eastAsia="zh-CN"/>
              </w:rPr>
            </w:pPr>
            <w:r>
              <w:rPr>
                <w:rFonts w:hint="eastAsia"/>
                <w:lang w:val="en-US" w:eastAsia="zh-CN"/>
              </w:rPr>
              <w:t>78.55</w:t>
            </w:r>
          </w:p>
        </w:tc>
        <w:tc>
          <w:tcPr>
            <w:tcW w:w="528" w:type="pct"/>
            <w:vAlign w:val="center"/>
          </w:tcPr>
          <w:p>
            <w:pPr>
              <w:jc w:val="center"/>
            </w:pPr>
            <w:r>
              <w:rPr>
                <w:rFonts w:hint="eastAsia"/>
                <w:lang w:eastAsia="zh-CN"/>
              </w:rPr>
              <w:t>框剪</w:t>
            </w:r>
          </w:p>
        </w:tc>
        <w:tc>
          <w:tcPr>
            <w:tcW w:w="921" w:type="pct"/>
            <w:vAlign w:val="center"/>
          </w:tcPr>
          <w:p>
            <w:pPr>
              <w:jc w:val="center"/>
            </w:pPr>
            <w:r>
              <w:rPr>
                <w:rFonts w:hint="eastAsia"/>
                <w:lang w:eastAsia="zh-CN"/>
              </w:rPr>
              <w:t>天然地基或桩基础</w:t>
            </w:r>
          </w:p>
        </w:tc>
        <w:tc>
          <w:tcPr>
            <w:tcW w:w="1175" w:type="pct"/>
            <w:vAlign w:val="center"/>
          </w:tcPr>
          <w:p>
            <w:pPr>
              <w:jc w:val="center"/>
              <w:rPr>
                <w:rFonts w:hint="default"/>
                <w:lang w:val="en-US"/>
              </w:rPr>
            </w:pPr>
            <w:r>
              <w:rPr>
                <w:rFonts w:hint="eastAsia"/>
                <w:lang w:val="en-US" w:eastAsia="zh-CN"/>
              </w:rPr>
              <w:t>209.40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396" w:type="pct"/>
            <w:vAlign w:val="center"/>
          </w:tcPr>
          <w:p>
            <w:pPr>
              <w:jc w:val="center"/>
              <w:rPr>
                <w:rFonts w:hint="default" w:eastAsia="宋体"/>
                <w:lang w:val="en-US" w:eastAsia="zh-CN"/>
              </w:rPr>
            </w:pPr>
            <w:r>
              <w:rPr>
                <w:rFonts w:hint="eastAsia"/>
                <w:lang w:val="en-US" w:eastAsia="zh-CN"/>
              </w:rPr>
              <w:t>16-18</w:t>
            </w:r>
          </w:p>
        </w:tc>
        <w:tc>
          <w:tcPr>
            <w:tcW w:w="694" w:type="pct"/>
            <w:vAlign w:val="center"/>
          </w:tcPr>
          <w:p>
            <w:pPr>
              <w:jc w:val="center"/>
            </w:pPr>
            <w:r>
              <w:rPr>
                <w:rFonts w:hint="eastAsia"/>
                <w:lang w:eastAsia="zh-CN"/>
              </w:rPr>
              <w:t>住宅</w:t>
            </w:r>
          </w:p>
        </w:tc>
        <w:tc>
          <w:tcPr>
            <w:tcW w:w="826" w:type="pct"/>
            <w:vAlign w:val="center"/>
          </w:tcPr>
          <w:p>
            <w:pPr>
              <w:jc w:val="center"/>
              <w:rPr>
                <w:rFonts w:hint="default" w:eastAsia="宋体"/>
                <w:lang w:val="en-US" w:eastAsia="zh-CN"/>
              </w:rPr>
            </w:pPr>
            <w:r>
              <w:rPr>
                <w:rFonts w:hint="eastAsia"/>
                <w:lang w:val="en-US" w:eastAsia="zh-CN"/>
              </w:rPr>
              <w:t>25</w:t>
            </w:r>
          </w:p>
        </w:tc>
        <w:tc>
          <w:tcPr>
            <w:tcW w:w="457" w:type="pct"/>
            <w:vAlign w:val="center"/>
          </w:tcPr>
          <w:p>
            <w:pPr>
              <w:jc w:val="center"/>
              <w:rPr>
                <w:rFonts w:hint="default" w:eastAsia="宋体"/>
                <w:lang w:val="en-US" w:eastAsia="zh-CN"/>
              </w:rPr>
            </w:pPr>
            <w:r>
              <w:rPr>
                <w:rFonts w:hint="eastAsia"/>
                <w:lang w:val="en-US" w:eastAsia="zh-CN"/>
              </w:rPr>
              <w:t>70.15</w:t>
            </w:r>
          </w:p>
        </w:tc>
        <w:tc>
          <w:tcPr>
            <w:tcW w:w="528" w:type="pct"/>
            <w:vAlign w:val="center"/>
          </w:tcPr>
          <w:p>
            <w:pPr>
              <w:jc w:val="center"/>
            </w:pPr>
            <w:r>
              <w:rPr>
                <w:rFonts w:hint="eastAsia"/>
                <w:lang w:eastAsia="zh-CN"/>
              </w:rPr>
              <w:t>框剪</w:t>
            </w:r>
          </w:p>
        </w:tc>
        <w:tc>
          <w:tcPr>
            <w:tcW w:w="921" w:type="pct"/>
            <w:vAlign w:val="center"/>
          </w:tcPr>
          <w:p>
            <w:pPr>
              <w:jc w:val="center"/>
            </w:pPr>
            <w:r>
              <w:rPr>
                <w:rFonts w:hint="eastAsia"/>
                <w:lang w:eastAsia="zh-CN"/>
              </w:rPr>
              <w:t>天然地基或桩基础</w:t>
            </w:r>
          </w:p>
        </w:tc>
        <w:tc>
          <w:tcPr>
            <w:tcW w:w="1175" w:type="pct"/>
            <w:vAlign w:val="center"/>
          </w:tcPr>
          <w:p>
            <w:pPr>
              <w:jc w:val="center"/>
              <w:rPr>
                <w:rFonts w:hint="default"/>
                <w:lang w:val="en-US"/>
              </w:rPr>
            </w:pPr>
            <w:r>
              <w:rPr>
                <w:rFonts w:hint="eastAsia"/>
                <w:lang w:val="en-US" w:eastAsia="zh-CN"/>
              </w:rPr>
              <w:t>209.40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396" w:type="pct"/>
            <w:vAlign w:val="center"/>
          </w:tcPr>
          <w:p>
            <w:pPr>
              <w:jc w:val="center"/>
              <w:rPr>
                <w:rFonts w:hint="default" w:eastAsia="宋体"/>
                <w:lang w:val="en-US" w:eastAsia="zh-CN"/>
              </w:rPr>
            </w:pPr>
            <w:r>
              <w:rPr>
                <w:rFonts w:hint="eastAsia"/>
                <w:lang w:val="en-US" w:eastAsia="zh-CN"/>
              </w:rPr>
              <w:t>16-19</w:t>
            </w:r>
          </w:p>
        </w:tc>
        <w:tc>
          <w:tcPr>
            <w:tcW w:w="694" w:type="pct"/>
            <w:vAlign w:val="center"/>
          </w:tcPr>
          <w:p>
            <w:pPr>
              <w:jc w:val="center"/>
              <w:rPr>
                <w:rFonts w:hint="eastAsia"/>
              </w:rPr>
            </w:pPr>
            <w:r>
              <w:rPr>
                <w:rFonts w:hint="eastAsia"/>
                <w:lang w:eastAsia="zh-CN"/>
              </w:rPr>
              <w:t>住宅</w:t>
            </w:r>
          </w:p>
        </w:tc>
        <w:tc>
          <w:tcPr>
            <w:tcW w:w="826" w:type="pct"/>
            <w:vAlign w:val="center"/>
          </w:tcPr>
          <w:p>
            <w:pPr>
              <w:jc w:val="center"/>
              <w:rPr>
                <w:rFonts w:hint="default" w:eastAsia="宋体"/>
                <w:lang w:val="en-US" w:eastAsia="zh-CN"/>
              </w:rPr>
            </w:pPr>
            <w:r>
              <w:rPr>
                <w:rFonts w:hint="eastAsia"/>
                <w:lang w:val="en-US" w:eastAsia="zh-CN"/>
              </w:rPr>
              <w:t>23</w:t>
            </w:r>
          </w:p>
        </w:tc>
        <w:tc>
          <w:tcPr>
            <w:tcW w:w="457" w:type="pct"/>
            <w:vAlign w:val="center"/>
          </w:tcPr>
          <w:p>
            <w:pPr>
              <w:jc w:val="center"/>
              <w:rPr>
                <w:rFonts w:hint="default" w:eastAsia="宋体"/>
                <w:lang w:val="en-US" w:eastAsia="zh-CN"/>
              </w:rPr>
            </w:pPr>
            <w:r>
              <w:rPr>
                <w:rFonts w:hint="eastAsia"/>
                <w:lang w:val="en-US" w:eastAsia="zh-CN"/>
              </w:rPr>
              <w:t>64.55</w:t>
            </w:r>
          </w:p>
        </w:tc>
        <w:tc>
          <w:tcPr>
            <w:tcW w:w="528" w:type="pct"/>
            <w:vAlign w:val="center"/>
          </w:tcPr>
          <w:p>
            <w:pPr>
              <w:jc w:val="center"/>
              <w:rPr>
                <w:rFonts w:hint="eastAsia"/>
              </w:rPr>
            </w:pPr>
            <w:r>
              <w:rPr>
                <w:rFonts w:hint="eastAsia"/>
                <w:lang w:eastAsia="zh-CN"/>
              </w:rPr>
              <w:t>框剪</w:t>
            </w:r>
          </w:p>
        </w:tc>
        <w:tc>
          <w:tcPr>
            <w:tcW w:w="921" w:type="pct"/>
            <w:vAlign w:val="center"/>
          </w:tcPr>
          <w:p>
            <w:pPr>
              <w:jc w:val="center"/>
              <w:rPr>
                <w:rFonts w:hint="eastAsia"/>
                <w:lang w:eastAsia="zh-CN"/>
              </w:rPr>
            </w:pPr>
            <w:r>
              <w:rPr>
                <w:rFonts w:hint="eastAsia"/>
                <w:lang w:eastAsia="zh-CN"/>
              </w:rPr>
              <w:t>天然地基或桩基础</w:t>
            </w:r>
          </w:p>
        </w:tc>
        <w:tc>
          <w:tcPr>
            <w:tcW w:w="1175" w:type="pct"/>
            <w:vAlign w:val="center"/>
          </w:tcPr>
          <w:p>
            <w:pPr>
              <w:jc w:val="center"/>
              <w:rPr>
                <w:rFonts w:hint="default"/>
                <w:lang w:val="en-US"/>
              </w:rPr>
            </w:pPr>
            <w:r>
              <w:rPr>
                <w:rFonts w:hint="eastAsia"/>
                <w:lang w:val="en-US" w:eastAsia="zh-CN"/>
              </w:rPr>
              <w:t>209.40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396" w:type="pct"/>
            <w:vAlign w:val="center"/>
          </w:tcPr>
          <w:p>
            <w:pPr>
              <w:jc w:val="center"/>
              <w:rPr>
                <w:rFonts w:hint="default" w:eastAsia="宋体"/>
                <w:lang w:val="en-US" w:eastAsia="zh-CN"/>
              </w:rPr>
            </w:pPr>
            <w:r>
              <w:rPr>
                <w:rFonts w:hint="eastAsia"/>
                <w:lang w:val="en-US" w:eastAsia="zh-CN"/>
              </w:rPr>
              <w:t>16-S-1</w:t>
            </w:r>
          </w:p>
        </w:tc>
        <w:tc>
          <w:tcPr>
            <w:tcW w:w="694" w:type="pct"/>
            <w:vAlign w:val="center"/>
          </w:tcPr>
          <w:p>
            <w:pPr>
              <w:jc w:val="center"/>
              <w:rPr>
                <w:rFonts w:hint="eastAsia" w:eastAsia="宋体"/>
                <w:lang w:eastAsia="zh-CN"/>
              </w:rPr>
            </w:pPr>
            <w:r>
              <w:rPr>
                <w:rFonts w:hint="eastAsia"/>
                <w:lang w:eastAsia="zh-CN"/>
              </w:rPr>
              <w:t>商业</w:t>
            </w:r>
          </w:p>
        </w:tc>
        <w:tc>
          <w:tcPr>
            <w:tcW w:w="826" w:type="pct"/>
            <w:vAlign w:val="center"/>
          </w:tcPr>
          <w:p>
            <w:pPr>
              <w:jc w:val="center"/>
              <w:rPr>
                <w:rFonts w:hint="default" w:eastAsia="宋体"/>
                <w:lang w:val="en-US" w:eastAsia="zh-CN"/>
              </w:rPr>
            </w:pPr>
            <w:r>
              <w:rPr>
                <w:rFonts w:hint="eastAsia"/>
                <w:lang w:val="en-US" w:eastAsia="zh-CN"/>
              </w:rPr>
              <w:t>1</w:t>
            </w:r>
          </w:p>
        </w:tc>
        <w:tc>
          <w:tcPr>
            <w:tcW w:w="457" w:type="pct"/>
            <w:vAlign w:val="center"/>
          </w:tcPr>
          <w:p>
            <w:pPr>
              <w:jc w:val="center"/>
              <w:rPr>
                <w:rFonts w:hint="default" w:eastAsia="宋体"/>
                <w:lang w:val="en-US" w:eastAsia="zh-CN"/>
              </w:rPr>
            </w:pPr>
            <w:r>
              <w:rPr>
                <w:rFonts w:hint="eastAsia"/>
                <w:lang w:val="en-US" w:eastAsia="zh-CN"/>
              </w:rPr>
              <w:t>4.65</w:t>
            </w:r>
          </w:p>
        </w:tc>
        <w:tc>
          <w:tcPr>
            <w:tcW w:w="528" w:type="pct"/>
            <w:vAlign w:val="center"/>
          </w:tcPr>
          <w:p>
            <w:pPr>
              <w:jc w:val="center"/>
              <w:rPr>
                <w:rFonts w:hint="eastAsia" w:eastAsia="宋体"/>
                <w:lang w:eastAsia="zh-CN"/>
              </w:rPr>
            </w:pPr>
            <w:r>
              <w:rPr>
                <w:rFonts w:hint="eastAsia"/>
                <w:lang w:eastAsia="zh-CN"/>
              </w:rPr>
              <w:t>框架</w:t>
            </w:r>
          </w:p>
        </w:tc>
        <w:tc>
          <w:tcPr>
            <w:tcW w:w="921" w:type="pct"/>
            <w:vAlign w:val="center"/>
          </w:tcPr>
          <w:p>
            <w:pPr>
              <w:jc w:val="center"/>
              <w:rPr>
                <w:rFonts w:hint="eastAsia"/>
                <w:lang w:eastAsia="zh-CN"/>
              </w:rPr>
            </w:pPr>
            <w:r>
              <w:rPr>
                <w:rFonts w:hint="eastAsia"/>
                <w:lang w:eastAsia="zh-CN"/>
              </w:rPr>
              <w:t>天然地基或桩基础</w:t>
            </w:r>
          </w:p>
        </w:tc>
        <w:tc>
          <w:tcPr>
            <w:tcW w:w="1175" w:type="pct"/>
            <w:vAlign w:val="center"/>
          </w:tcPr>
          <w:p>
            <w:pPr>
              <w:jc w:val="center"/>
              <w:rPr>
                <w:rFonts w:hint="default"/>
                <w:lang w:val="en-US"/>
              </w:rPr>
            </w:pPr>
            <w:r>
              <w:rPr>
                <w:rFonts w:hint="eastAsia"/>
                <w:lang w:val="en-US" w:eastAsia="zh-CN"/>
              </w:rPr>
              <w:t>208.80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396" w:type="pct"/>
            <w:vAlign w:val="center"/>
          </w:tcPr>
          <w:p>
            <w:pPr>
              <w:jc w:val="center"/>
              <w:rPr>
                <w:rFonts w:hint="eastAsia"/>
              </w:rPr>
            </w:pPr>
            <w:r>
              <w:rPr>
                <w:rFonts w:hint="eastAsia"/>
                <w:lang w:val="en-US" w:eastAsia="zh-CN"/>
              </w:rPr>
              <w:t>16-S-2</w:t>
            </w:r>
          </w:p>
        </w:tc>
        <w:tc>
          <w:tcPr>
            <w:tcW w:w="694" w:type="pct"/>
            <w:vAlign w:val="center"/>
          </w:tcPr>
          <w:p>
            <w:pPr>
              <w:jc w:val="center"/>
              <w:rPr>
                <w:rFonts w:hint="eastAsia"/>
              </w:rPr>
            </w:pPr>
            <w:r>
              <w:rPr>
                <w:rFonts w:hint="eastAsia"/>
                <w:lang w:eastAsia="zh-CN"/>
              </w:rPr>
              <w:t>商业</w:t>
            </w:r>
          </w:p>
        </w:tc>
        <w:tc>
          <w:tcPr>
            <w:tcW w:w="826" w:type="pct"/>
            <w:vAlign w:val="center"/>
          </w:tcPr>
          <w:p>
            <w:pPr>
              <w:jc w:val="center"/>
              <w:rPr>
                <w:rFonts w:hint="eastAsia" w:eastAsia="宋体"/>
                <w:lang w:val="en-US" w:eastAsia="zh-CN"/>
              </w:rPr>
            </w:pPr>
            <w:r>
              <w:rPr>
                <w:rFonts w:hint="eastAsia"/>
                <w:lang w:val="en-US" w:eastAsia="zh-CN"/>
              </w:rPr>
              <w:t>1</w:t>
            </w:r>
          </w:p>
        </w:tc>
        <w:tc>
          <w:tcPr>
            <w:tcW w:w="457" w:type="pct"/>
            <w:vAlign w:val="center"/>
          </w:tcPr>
          <w:p>
            <w:pPr>
              <w:jc w:val="center"/>
              <w:rPr>
                <w:rFonts w:hint="default" w:eastAsia="宋体"/>
                <w:lang w:val="en-US" w:eastAsia="zh-CN"/>
              </w:rPr>
            </w:pPr>
            <w:r>
              <w:rPr>
                <w:rFonts w:hint="eastAsia"/>
                <w:lang w:val="en-US" w:eastAsia="zh-CN"/>
              </w:rPr>
              <w:t>4.65</w:t>
            </w:r>
          </w:p>
        </w:tc>
        <w:tc>
          <w:tcPr>
            <w:tcW w:w="528" w:type="pct"/>
            <w:vAlign w:val="center"/>
          </w:tcPr>
          <w:p>
            <w:pPr>
              <w:jc w:val="center"/>
              <w:rPr>
                <w:rFonts w:hint="eastAsia"/>
              </w:rPr>
            </w:pPr>
            <w:r>
              <w:rPr>
                <w:rFonts w:hint="eastAsia"/>
                <w:lang w:eastAsia="zh-CN"/>
              </w:rPr>
              <w:t>框架</w:t>
            </w:r>
          </w:p>
        </w:tc>
        <w:tc>
          <w:tcPr>
            <w:tcW w:w="921" w:type="pct"/>
            <w:vAlign w:val="center"/>
          </w:tcPr>
          <w:p>
            <w:pPr>
              <w:jc w:val="center"/>
              <w:rPr>
                <w:rFonts w:hint="eastAsia"/>
                <w:lang w:eastAsia="zh-CN"/>
              </w:rPr>
            </w:pPr>
            <w:r>
              <w:rPr>
                <w:rFonts w:hint="eastAsia"/>
                <w:lang w:eastAsia="zh-CN"/>
              </w:rPr>
              <w:t>天然地基或桩基础</w:t>
            </w:r>
          </w:p>
        </w:tc>
        <w:tc>
          <w:tcPr>
            <w:tcW w:w="1175" w:type="pct"/>
            <w:vAlign w:val="center"/>
          </w:tcPr>
          <w:p>
            <w:pPr>
              <w:jc w:val="center"/>
              <w:rPr>
                <w:rFonts w:hint="default"/>
                <w:lang w:val="en-US"/>
              </w:rPr>
            </w:pPr>
            <w:r>
              <w:rPr>
                <w:rFonts w:hint="eastAsia"/>
                <w:lang w:val="en-US" w:eastAsia="zh-CN"/>
              </w:rPr>
              <w:t>208.90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396" w:type="pct"/>
            <w:vAlign w:val="center"/>
          </w:tcPr>
          <w:p>
            <w:pPr>
              <w:jc w:val="center"/>
              <w:rPr>
                <w:rFonts w:hint="eastAsia"/>
              </w:rPr>
            </w:pPr>
            <w:r>
              <w:rPr>
                <w:rFonts w:hint="eastAsia"/>
                <w:lang w:val="en-US" w:eastAsia="zh-CN"/>
              </w:rPr>
              <w:t>16-S-3</w:t>
            </w:r>
          </w:p>
        </w:tc>
        <w:tc>
          <w:tcPr>
            <w:tcW w:w="694" w:type="pct"/>
            <w:vAlign w:val="center"/>
          </w:tcPr>
          <w:p>
            <w:pPr>
              <w:jc w:val="center"/>
              <w:rPr>
                <w:rFonts w:hint="eastAsia"/>
              </w:rPr>
            </w:pPr>
            <w:r>
              <w:rPr>
                <w:rFonts w:hint="eastAsia"/>
                <w:lang w:eastAsia="zh-CN"/>
              </w:rPr>
              <w:t>商业</w:t>
            </w:r>
          </w:p>
        </w:tc>
        <w:tc>
          <w:tcPr>
            <w:tcW w:w="826" w:type="pct"/>
            <w:vAlign w:val="center"/>
          </w:tcPr>
          <w:p>
            <w:pPr>
              <w:jc w:val="center"/>
              <w:rPr>
                <w:rFonts w:hint="eastAsia" w:eastAsia="宋体"/>
                <w:lang w:val="en-US" w:eastAsia="zh-CN"/>
              </w:rPr>
            </w:pPr>
            <w:r>
              <w:rPr>
                <w:rFonts w:hint="eastAsia"/>
                <w:lang w:val="en-US" w:eastAsia="zh-CN"/>
              </w:rPr>
              <w:t>1</w:t>
            </w:r>
          </w:p>
        </w:tc>
        <w:tc>
          <w:tcPr>
            <w:tcW w:w="457" w:type="pct"/>
            <w:vAlign w:val="center"/>
          </w:tcPr>
          <w:p>
            <w:pPr>
              <w:jc w:val="center"/>
              <w:rPr>
                <w:rFonts w:hint="default" w:eastAsia="宋体"/>
                <w:lang w:val="en-US" w:eastAsia="zh-CN"/>
              </w:rPr>
            </w:pPr>
            <w:r>
              <w:rPr>
                <w:rFonts w:hint="eastAsia"/>
                <w:lang w:val="en-US" w:eastAsia="zh-CN"/>
              </w:rPr>
              <w:t>4.65</w:t>
            </w:r>
          </w:p>
        </w:tc>
        <w:tc>
          <w:tcPr>
            <w:tcW w:w="528" w:type="pct"/>
            <w:vAlign w:val="center"/>
          </w:tcPr>
          <w:p>
            <w:pPr>
              <w:jc w:val="center"/>
              <w:rPr>
                <w:rFonts w:hint="eastAsia"/>
              </w:rPr>
            </w:pPr>
            <w:r>
              <w:rPr>
                <w:rFonts w:hint="eastAsia"/>
                <w:lang w:eastAsia="zh-CN"/>
              </w:rPr>
              <w:t>框架</w:t>
            </w:r>
          </w:p>
        </w:tc>
        <w:tc>
          <w:tcPr>
            <w:tcW w:w="921" w:type="pct"/>
            <w:vAlign w:val="center"/>
          </w:tcPr>
          <w:p>
            <w:pPr>
              <w:jc w:val="center"/>
              <w:rPr>
                <w:rFonts w:hint="eastAsia"/>
                <w:lang w:eastAsia="zh-CN"/>
              </w:rPr>
            </w:pPr>
            <w:r>
              <w:rPr>
                <w:rFonts w:hint="eastAsia"/>
                <w:lang w:eastAsia="zh-CN"/>
              </w:rPr>
              <w:t>天然地基或桩基础</w:t>
            </w:r>
          </w:p>
        </w:tc>
        <w:tc>
          <w:tcPr>
            <w:tcW w:w="1175" w:type="pct"/>
            <w:vAlign w:val="center"/>
          </w:tcPr>
          <w:p>
            <w:pPr>
              <w:jc w:val="center"/>
              <w:rPr>
                <w:rFonts w:hint="default"/>
                <w:lang w:val="en-US"/>
              </w:rPr>
            </w:pPr>
            <w:r>
              <w:rPr>
                <w:rFonts w:hint="eastAsia"/>
                <w:lang w:val="en-US" w:eastAsia="zh-CN"/>
              </w:rPr>
              <w:t>208.90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396" w:type="pct"/>
            <w:vAlign w:val="center"/>
          </w:tcPr>
          <w:p>
            <w:pPr>
              <w:jc w:val="center"/>
              <w:rPr>
                <w:rFonts w:hint="eastAsia"/>
              </w:rPr>
            </w:pPr>
            <w:r>
              <w:rPr>
                <w:rFonts w:hint="eastAsia"/>
                <w:lang w:val="en-US" w:eastAsia="zh-CN"/>
              </w:rPr>
              <w:t>16-S-5</w:t>
            </w:r>
          </w:p>
        </w:tc>
        <w:tc>
          <w:tcPr>
            <w:tcW w:w="694" w:type="pct"/>
            <w:vAlign w:val="center"/>
          </w:tcPr>
          <w:p>
            <w:pPr>
              <w:jc w:val="center"/>
              <w:rPr>
                <w:rFonts w:hint="default"/>
                <w:lang w:val="en-US"/>
              </w:rPr>
            </w:pPr>
            <w:r>
              <w:rPr>
                <w:rFonts w:hint="eastAsia"/>
                <w:lang w:eastAsia="zh-CN"/>
              </w:rPr>
              <w:t>商业</w:t>
            </w:r>
            <w:r>
              <w:rPr>
                <w:rFonts w:hint="eastAsia"/>
                <w:lang w:val="en-US" w:eastAsia="zh-CN"/>
              </w:rPr>
              <w:t>+配套</w:t>
            </w:r>
          </w:p>
        </w:tc>
        <w:tc>
          <w:tcPr>
            <w:tcW w:w="826" w:type="pct"/>
            <w:vAlign w:val="center"/>
          </w:tcPr>
          <w:p>
            <w:pPr>
              <w:jc w:val="center"/>
              <w:rPr>
                <w:rFonts w:hint="eastAsia" w:eastAsia="宋体"/>
                <w:lang w:val="en-US" w:eastAsia="zh-CN"/>
              </w:rPr>
            </w:pPr>
            <w:r>
              <w:rPr>
                <w:rFonts w:hint="eastAsia"/>
                <w:lang w:val="en-US" w:eastAsia="zh-CN"/>
              </w:rPr>
              <w:t>1</w:t>
            </w:r>
          </w:p>
        </w:tc>
        <w:tc>
          <w:tcPr>
            <w:tcW w:w="457" w:type="pct"/>
            <w:vAlign w:val="center"/>
          </w:tcPr>
          <w:p>
            <w:pPr>
              <w:jc w:val="center"/>
              <w:rPr>
                <w:rFonts w:hint="default" w:eastAsia="宋体"/>
                <w:lang w:val="en-US" w:eastAsia="zh-CN"/>
              </w:rPr>
            </w:pPr>
            <w:r>
              <w:rPr>
                <w:rFonts w:hint="eastAsia"/>
                <w:lang w:val="en-US" w:eastAsia="zh-CN"/>
              </w:rPr>
              <w:t>4.65</w:t>
            </w:r>
          </w:p>
        </w:tc>
        <w:tc>
          <w:tcPr>
            <w:tcW w:w="528" w:type="pct"/>
            <w:vAlign w:val="center"/>
          </w:tcPr>
          <w:p>
            <w:pPr>
              <w:jc w:val="center"/>
              <w:rPr>
                <w:rFonts w:hint="eastAsia"/>
              </w:rPr>
            </w:pPr>
            <w:r>
              <w:rPr>
                <w:rFonts w:hint="eastAsia"/>
                <w:lang w:eastAsia="zh-CN"/>
              </w:rPr>
              <w:t>框架</w:t>
            </w:r>
          </w:p>
        </w:tc>
        <w:tc>
          <w:tcPr>
            <w:tcW w:w="921" w:type="pct"/>
            <w:vAlign w:val="center"/>
          </w:tcPr>
          <w:p>
            <w:pPr>
              <w:jc w:val="center"/>
              <w:rPr>
                <w:rFonts w:hint="eastAsia"/>
                <w:lang w:eastAsia="zh-CN"/>
              </w:rPr>
            </w:pPr>
            <w:r>
              <w:rPr>
                <w:rFonts w:hint="eastAsia"/>
                <w:lang w:eastAsia="zh-CN"/>
              </w:rPr>
              <w:t>天然地基或桩基础</w:t>
            </w:r>
          </w:p>
        </w:tc>
        <w:tc>
          <w:tcPr>
            <w:tcW w:w="1175" w:type="pct"/>
            <w:vAlign w:val="center"/>
          </w:tcPr>
          <w:p>
            <w:pPr>
              <w:jc w:val="center"/>
              <w:rPr>
                <w:rFonts w:hint="default"/>
                <w:lang w:val="en-US"/>
              </w:rPr>
            </w:pPr>
            <w:r>
              <w:rPr>
                <w:rFonts w:hint="eastAsia"/>
                <w:lang w:val="en-US" w:eastAsia="zh-CN"/>
              </w:rPr>
              <w:t>209.10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396" w:type="pct"/>
            <w:vAlign w:val="center"/>
          </w:tcPr>
          <w:p>
            <w:pPr>
              <w:jc w:val="center"/>
              <w:rPr>
                <w:rFonts w:hint="eastAsia"/>
              </w:rPr>
            </w:pPr>
            <w:r>
              <w:rPr>
                <w:rFonts w:hint="eastAsia"/>
                <w:lang w:val="en-US" w:eastAsia="zh-CN"/>
              </w:rPr>
              <w:t>16-S-6</w:t>
            </w:r>
          </w:p>
        </w:tc>
        <w:tc>
          <w:tcPr>
            <w:tcW w:w="694" w:type="pct"/>
            <w:vAlign w:val="center"/>
          </w:tcPr>
          <w:p>
            <w:pPr>
              <w:jc w:val="center"/>
              <w:rPr>
                <w:rFonts w:hint="default"/>
                <w:lang w:val="en-US"/>
              </w:rPr>
            </w:pPr>
            <w:r>
              <w:rPr>
                <w:rFonts w:hint="eastAsia"/>
                <w:lang w:eastAsia="zh-CN"/>
              </w:rPr>
              <w:t>商业</w:t>
            </w:r>
            <w:r>
              <w:rPr>
                <w:rFonts w:hint="eastAsia"/>
                <w:lang w:val="en-US" w:eastAsia="zh-CN"/>
              </w:rPr>
              <w:t>+配套</w:t>
            </w:r>
          </w:p>
        </w:tc>
        <w:tc>
          <w:tcPr>
            <w:tcW w:w="826" w:type="pct"/>
            <w:vAlign w:val="center"/>
          </w:tcPr>
          <w:p>
            <w:pPr>
              <w:jc w:val="center"/>
              <w:rPr>
                <w:rFonts w:hint="eastAsia" w:eastAsia="宋体"/>
                <w:lang w:val="en-US" w:eastAsia="zh-CN"/>
              </w:rPr>
            </w:pPr>
            <w:r>
              <w:rPr>
                <w:rFonts w:hint="eastAsia"/>
                <w:lang w:val="en-US" w:eastAsia="zh-CN"/>
              </w:rPr>
              <w:t>1</w:t>
            </w:r>
          </w:p>
        </w:tc>
        <w:tc>
          <w:tcPr>
            <w:tcW w:w="457" w:type="pct"/>
            <w:vAlign w:val="center"/>
          </w:tcPr>
          <w:p>
            <w:pPr>
              <w:jc w:val="center"/>
              <w:rPr>
                <w:rFonts w:hint="default" w:eastAsia="宋体"/>
                <w:lang w:val="en-US" w:eastAsia="zh-CN"/>
              </w:rPr>
            </w:pPr>
            <w:r>
              <w:rPr>
                <w:rFonts w:hint="eastAsia"/>
                <w:lang w:val="en-US" w:eastAsia="zh-CN"/>
              </w:rPr>
              <w:t>4.65</w:t>
            </w:r>
          </w:p>
        </w:tc>
        <w:tc>
          <w:tcPr>
            <w:tcW w:w="528" w:type="pct"/>
            <w:vAlign w:val="center"/>
          </w:tcPr>
          <w:p>
            <w:pPr>
              <w:jc w:val="center"/>
              <w:rPr>
                <w:rFonts w:hint="eastAsia"/>
              </w:rPr>
            </w:pPr>
            <w:r>
              <w:rPr>
                <w:rFonts w:hint="eastAsia"/>
                <w:lang w:eastAsia="zh-CN"/>
              </w:rPr>
              <w:t>框架</w:t>
            </w:r>
          </w:p>
        </w:tc>
        <w:tc>
          <w:tcPr>
            <w:tcW w:w="921" w:type="pct"/>
            <w:vAlign w:val="center"/>
          </w:tcPr>
          <w:p>
            <w:pPr>
              <w:jc w:val="center"/>
              <w:rPr>
                <w:rFonts w:hint="eastAsia"/>
                <w:lang w:eastAsia="zh-CN"/>
              </w:rPr>
            </w:pPr>
            <w:r>
              <w:rPr>
                <w:rFonts w:hint="eastAsia"/>
                <w:lang w:eastAsia="zh-CN"/>
              </w:rPr>
              <w:t>天然地基或桩基础</w:t>
            </w:r>
          </w:p>
        </w:tc>
        <w:tc>
          <w:tcPr>
            <w:tcW w:w="1175" w:type="pct"/>
            <w:vAlign w:val="center"/>
          </w:tcPr>
          <w:p>
            <w:pPr>
              <w:jc w:val="center"/>
              <w:rPr>
                <w:rFonts w:hint="default"/>
                <w:lang w:val="en-US"/>
              </w:rPr>
            </w:pPr>
            <w:r>
              <w:rPr>
                <w:rFonts w:hint="eastAsia"/>
                <w:lang w:val="en-US" w:eastAsia="zh-CN"/>
              </w:rPr>
              <w:t>209.10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396" w:type="pct"/>
            <w:vAlign w:val="center"/>
          </w:tcPr>
          <w:p>
            <w:pPr>
              <w:jc w:val="center"/>
              <w:rPr>
                <w:rFonts w:hint="eastAsia"/>
              </w:rPr>
            </w:pPr>
            <w:r>
              <w:rPr>
                <w:rFonts w:hint="eastAsia"/>
                <w:lang w:val="en-US" w:eastAsia="zh-CN"/>
              </w:rPr>
              <w:t>16-S-7</w:t>
            </w:r>
          </w:p>
        </w:tc>
        <w:tc>
          <w:tcPr>
            <w:tcW w:w="694" w:type="pct"/>
            <w:vAlign w:val="center"/>
          </w:tcPr>
          <w:p>
            <w:pPr>
              <w:jc w:val="center"/>
              <w:rPr>
                <w:rFonts w:hint="eastAsia"/>
              </w:rPr>
            </w:pPr>
            <w:r>
              <w:rPr>
                <w:rFonts w:hint="eastAsia"/>
                <w:lang w:eastAsia="zh-CN"/>
              </w:rPr>
              <w:t>商业</w:t>
            </w:r>
          </w:p>
        </w:tc>
        <w:tc>
          <w:tcPr>
            <w:tcW w:w="826" w:type="pct"/>
            <w:vAlign w:val="center"/>
          </w:tcPr>
          <w:p>
            <w:pPr>
              <w:jc w:val="center"/>
              <w:rPr>
                <w:rFonts w:hint="eastAsia" w:eastAsia="宋体"/>
                <w:lang w:val="en-US" w:eastAsia="zh-CN"/>
              </w:rPr>
            </w:pPr>
            <w:r>
              <w:rPr>
                <w:rFonts w:hint="eastAsia"/>
                <w:lang w:val="en-US" w:eastAsia="zh-CN"/>
              </w:rPr>
              <w:t>1</w:t>
            </w:r>
          </w:p>
        </w:tc>
        <w:tc>
          <w:tcPr>
            <w:tcW w:w="457" w:type="pct"/>
            <w:vAlign w:val="center"/>
          </w:tcPr>
          <w:p>
            <w:pPr>
              <w:jc w:val="center"/>
              <w:rPr>
                <w:rFonts w:hint="default" w:eastAsia="宋体"/>
                <w:lang w:val="en-US" w:eastAsia="zh-CN"/>
              </w:rPr>
            </w:pPr>
            <w:r>
              <w:rPr>
                <w:rFonts w:hint="eastAsia"/>
                <w:lang w:val="en-US" w:eastAsia="zh-CN"/>
              </w:rPr>
              <w:t>4.65</w:t>
            </w:r>
          </w:p>
        </w:tc>
        <w:tc>
          <w:tcPr>
            <w:tcW w:w="528" w:type="pct"/>
            <w:vAlign w:val="center"/>
          </w:tcPr>
          <w:p>
            <w:pPr>
              <w:jc w:val="center"/>
              <w:rPr>
                <w:rFonts w:hint="eastAsia"/>
              </w:rPr>
            </w:pPr>
            <w:r>
              <w:rPr>
                <w:rFonts w:hint="eastAsia"/>
                <w:lang w:eastAsia="zh-CN"/>
              </w:rPr>
              <w:t>框架</w:t>
            </w:r>
          </w:p>
        </w:tc>
        <w:tc>
          <w:tcPr>
            <w:tcW w:w="921" w:type="pct"/>
            <w:vAlign w:val="center"/>
          </w:tcPr>
          <w:p>
            <w:pPr>
              <w:jc w:val="center"/>
              <w:rPr>
                <w:rFonts w:hint="eastAsia"/>
                <w:lang w:eastAsia="zh-CN"/>
              </w:rPr>
            </w:pPr>
            <w:r>
              <w:rPr>
                <w:rFonts w:hint="eastAsia"/>
                <w:lang w:eastAsia="zh-CN"/>
              </w:rPr>
              <w:t>天然地基或桩基础</w:t>
            </w:r>
          </w:p>
        </w:tc>
        <w:tc>
          <w:tcPr>
            <w:tcW w:w="1175" w:type="pct"/>
            <w:vAlign w:val="center"/>
          </w:tcPr>
          <w:p>
            <w:pPr>
              <w:jc w:val="center"/>
              <w:rPr>
                <w:rFonts w:hint="default"/>
                <w:lang w:val="en-US"/>
              </w:rPr>
            </w:pPr>
            <w:r>
              <w:rPr>
                <w:rFonts w:hint="eastAsia"/>
                <w:lang w:val="en-US" w:eastAsia="zh-CN"/>
              </w:rPr>
              <w:t>209.10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396" w:type="pct"/>
            <w:vAlign w:val="center"/>
          </w:tcPr>
          <w:p>
            <w:pPr>
              <w:jc w:val="center"/>
              <w:rPr>
                <w:rFonts w:hint="eastAsia"/>
              </w:rPr>
            </w:pPr>
            <w:r>
              <w:rPr>
                <w:rFonts w:hint="eastAsia"/>
                <w:lang w:val="en-US" w:eastAsia="zh-CN"/>
              </w:rPr>
              <w:t>16-S-8</w:t>
            </w:r>
          </w:p>
        </w:tc>
        <w:tc>
          <w:tcPr>
            <w:tcW w:w="694" w:type="pct"/>
            <w:vAlign w:val="center"/>
          </w:tcPr>
          <w:p>
            <w:pPr>
              <w:jc w:val="center"/>
              <w:rPr>
                <w:rFonts w:hint="eastAsia"/>
              </w:rPr>
            </w:pPr>
            <w:r>
              <w:rPr>
                <w:rFonts w:hint="eastAsia"/>
                <w:lang w:eastAsia="zh-CN"/>
              </w:rPr>
              <w:t>商业</w:t>
            </w:r>
          </w:p>
        </w:tc>
        <w:tc>
          <w:tcPr>
            <w:tcW w:w="826" w:type="pct"/>
            <w:vAlign w:val="center"/>
          </w:tcPr>
          <w:p>
            <w:pPr>
              <w:jc w:val="center"/>
              <w:rPr>
                <w:rFonts w:hint="eastAsia" w:eastAsia="宋体"/>
                <w:lang w:val="en-US" w:eastAsia="zh-CN"/>
              </w:rPr>
            </w:pPr>
            <w:r>
              <w:rPr>
                <w:rFonts w:hint="eastAsia"/>
                <w:lang w:val="en-US" w:eastAsia="zh-CN"/>
              </w:rPr>
              <w:t>2</w:t>
            </w:r>
          </w:p>
        </w:tc>
        <w:tc>
          <w:tcPr>
            <w:tcW w:w="457" w:type="pct"/>
            <w:vAlign w:val="center"/>
          </w:tcPr>
          <w:p>
            <w:pPr>
              <w:jc w:val="center"/>
              <w:rPr>
                <w:rFonts w:hint="default" w:eastAsia="宋体"/>
                <w:lang w:val="en-US" w:eastAsia="zh-CN"/>
              </w:rPr>
            </w:pPr>
            <w:r>
              <w:rPr>
                <w:rFonts w:hint="eastAsia"/>
                <w:lang w:val="en-US" w:eastAsia="zh-CN"/>
              </w:rPr>
              <w:t>9.60</w:t>
            </w:r>
          </w:p>
        </w:tc>
        <w:tc>
          <w:tcPr>
            <w:tcW w:w="528" w:type="pct"/>
            <w:vAlign w:val="center"/>
          </w:tcPr>
          <w:p>
            <w:pPr>
              <w:jc w:val="center"/>
              <w:rPr>
                <w:rFonts w:hint="eastAsia"/>
              </w:rPr>
            </w:pPr>
            <w:r>
              <w:rPr>
                <w:rFonts w:hint="eastAsia"/>
                <w:lang w:eastAsia="zh-CN"/>
              </w:rPr>
              <w:t>框架</w:t>
            </w:r>
          </w:p>
        </w:tc>
        <w:tc>
          <w:tcPr>
            <w:tcW w:w="921" w:type="pct"/>
            <w:vAlign w:val="center"/>
          </w:tcPr>
          <w:p>
            <w:pPr>
              <w:jc w:val="center"/>
              <w:rPr>
                <w:rFonts w:hint="eastAsia"/>
                <w:lang w:eastAsia="zh-CN"/>
              </w:rPr>
            </w:pPr>
            <w:r>
              <w:rPr>
                <w:rFonts w:hint="eastAsia"/>
                <w:lang w:eastAsia="zh-CN"/>
              </w:rPr>
              <w:t>天然地基或桩基础</w:t>
            </w:r>
          </w:p>
        </w:tc>
        <w:tc>
          <w:tcPr>
            <w:tcW w:w="1175" w:type="pct"/>
            <w:vAlign w:val="center"/>
          </w:tcPr>
          <w:p>
            <w:pPr>
              <w:jc w:val="center"/>
              <w:rPr>
                <w:rFonts w:hint="default"/>
                <w:lang w:val="en-US"/>
              </w:rPr>
            </w:pPr>
            <w:r>
              <w:rPr>
                <w:rFonts w:hint="eastAsia"/>
                <w:lang w:val="en-US" w:eastAsia="zh-CN"/>
              </w:rPr>
              <w:t>209.00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396" w:type="pct"/>
            <w:vAlign w:val="center"/>
          </w:tcPr>
          <w:p>
            <w:pPr>
              <w:jc w:val="center"/>
              <w:rPr>
                <w:rFonts w:hint="eastAsia"/>
              </w:rPr>
            </w:pPr>
            <w:r>
              <w:rPr>
                <w:rFonts w:hint="eastAsia"/>
                <w:lang w:val="en-US" w:eastAsia="zh-CN"/>
              </w:rPr>
              <w:t>16-S-9</w:t>
            </w:r>
          </w:p>
        </w:tc>
        <w:tc>
          <w:tcPr>
            <w:tcW w:w="694" w:type="pct"/>
            <w:vAlign w:val="center"/>
          </w:tcPr>
          <w:p>
            <w:pPr>
              <w:jc w:val="center"/>
              <w:rPr>
                <w:rFonts w:hint="eastAsia"/>
              </w:rPr>
            </w:pPr>
            <w:r>
              <w:rPr>
                <w:rFonts w:hint="eastAsia"/>
                <w:lang w:eastAsia="zh-CN"/>
              </w:rPr>
              <w:t>商业</w:t>
            </w:r>
          </w:p>
        </w:tc>
        <w:tc>
          <w:tcPr>
            <w:tcW w:w="826" w:type="pct"/>
            <w:vAlign w:val="center"/>
          </w:tcPr>
          <w:p>
            <w:pPr>
              <w:jc w:val="center"/>
              <w:rPr>
                <w:rFonts w:hint="eastAsia" w:eastAsia="宋体"/>
                <w:lang w:val="en-US" w:eastAsia="zh-CN"/>
              </w:rPr>
            </w:pPr>
            <w:r>
              <w:rPr>
                <w:rFonts w:hint="eastAsia"/>
                <w:lang w:val="en-US" w:eastAsia="zh-CN"/>
              </w:rPr>
              <w:t>2</w:t>
            </w:r>
          </w:p>
        </w:tc>
        <w:tc>
          <w:tcPr>
            <w:tcW w:w="457" w:type="pct"/>
            <w:vAlign w:val="center"/>
          </w:tcPr>
          <w:p>
            <w:pPr>
              <w:jc w:val="center"/>
              <w:rPr>
                <w:rFonts w:hint="default" w:eastAsia="宋体"/>
                <w:lang w:val="en-US" w:eastAsia="zh-CN"/>
              </w:rPr>
            </w:pPr>
            <w:r>
              <w:rPr>
                <w:rFonts w:hint="eastAsia"/>
                <w:lang w:val="en-US" w:eastAsia="zh-CN"/>
              </w:rPr>
              <w:t>8.85</w:t>
            </w:r>
          </w:p>
        </w:tc>
        <w:tc>
          <w:tcPr>
            <w:tcW w:w="528" w:type="pct"/>
            <w:vAlign w:val="center"/>
          </w:tcPr>
          <w:p>
            <w:pPr>
              <w:jc w:val="center"/>
              <w:rPr>
                <w:rFonts w:hint="eastAsia"/>
              </w:rPr>
            </w:pPr>
            <w:r>
              <w:rPr>
                <w:rFonts w:hint="eastAsia"/>
                <w:lang w:eastAsia="zh-CN"/>
              </w:rPr>
              <w:t>框架</w:t>
            </w:r>
          </w:p>
        </w:tc>
        <w:tc>
          <w:tcPr>
            <w:tcW w:w="921" w:type="pct"/>
            <w:vAlign w:val="center"/>
          </w:tcPr>
          <w:p>
            <w:pPr>
              <w:jc w:val="center"/>
              <w:rPr>
                <w:rFonts w:hint="eastAsia"/>
                <w:lang w:eastAsia="zh-CN"/>
              </w:rPr>
            </w:pPr>
            <w:r>
              <w:rPr>
                <w:rFonts w:hint="eastAsia"/>
                <w:lang w:eastAsia="zh-CN"/>
              </w:rPr>
              <w:t>天然地基或桩基础</w:t>
            </w:r>
          </w:p>
        </w:tc>
        <w:tc>
          <w:tcPr>
            <w:tcW w:w="1175" w:type="pct"/>
            <w:vAlign w:val="center"/>
          </w:tcPr>
          <w:p>
            <w:pPr>
              <w:jc w:val="center"/>
              <w:rPr>
                <w:rFonts w:hint="default"/>
                <w:lang w:val="en-US"/>
              </w:rPr>
            </w:pPr>
            <w:r>
              <w:rPr>
                <w:rFonts w:hint="eastAsia"/>
                <w:lang w:val="en-US" w:eastAsia="zh-CN"/>
              </w:rPr>
              <w:t>208.95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396" w:type="pct"/>
            <w:vAlign w:val="center"/>
          </w:tcPr>
          <w:p>
            <w:pPr>
              <w:jc w:val="center"/>
              <w:rPr>
                <w:rFonts w:hint="default"/>
                <w:lang w:val="en-US" w:eastAsia="zh-CN"/>
              </w:rPr>
            </w:pPr>
            <w:r>
              <w:rPr>
                <w:rFonts w:hint="eastAsia"/>
                <w:lang w:val="en-US" w:eastAsia="zh-CN"/>
              </w:rPr>
              <w:t>16-S-10</w:t>
            </w:r>
          </w:p>
        </w:tc>
        <w:tc>
          <w:tcPr>
            <w:tcW w:w="694" w:type="pct"/>
            <w:vAlign w:val="center"/>
          </w:tcPr>
          <w:p>
            <w:pPr>
              <w:jc w:val="center"/>
              <w:rPr>
                <w:rFonts w:hint="eastAsia"/>
              </w:rPr>
            </w:pPr>
            <w:r>
              <w:rPr>
                <w:rFonts w:hint="eastAsia"/>
                <w:lang w:eastAsia="zh-CN"/>
              </w:rPr>
              <w:t>商业</w:t>
            </w:r>
          </w:p>
        </w:tc>
        <w:tc>
          <w:tcPr>
            <w:tcW w:w="826" w:type="pct"/>
            <w:vAlign w:val="center"/>
          </w:tcPr>
          <w:p>
            <w:pPr>
              <w:jc w:val="center"/>
              <w:rPr>
                <w:rFonts w:hint="eastAsia" w:eastAsia="宋体"/>
                <w:lang w:val="en-US" w:eastAsia="zh-CN"/>
              </w:rPr>
            </w:pPr>
            <w:r>
              <w:rPr>
                <w:rFonts w:hint="eastAsia"/>
                <w:lang w:val="en-US" w:eastAsia="zh-CN"/>
              </w:rPr>
              <w:t>2</w:t>
            </w:r>
          </w:p>
        </w:tc>
        <w:tc>
          <w:tcPr>
            <w:tcW w:w="457" w:type="pct"/>
            <w:vAlign w:val="center"/>
          </w:tcPr>
          <w:p>
            <w:pPr>
              <w:jc w:val="center"/>
              <w:rPr>
                <w:rFonts w:hint="default" w:eastAsia="宋体"/>
                <w:lang w:val="en-US" w:eastAsia="zh-CN"/>
              </w:rPr>
            </w:pPr>
            <w:r>
              <w:rPr>
                <w:rFonts w:hint="eastAsia"/>
                <w:lang w:val="en-US" w:eastAsia="zh-CN"/>
              </w:rPr>
              <w:t>8.85</w:t>
            </w:r>
          </w:p>
        </w:tc>
        <w:tc>
          <w:tcPr>
            <w:tcW w:w="528" w:type="pct"/>
            <w:vAlign w:val="center"/>
          </w:tcPr>
          <w:p>
            <w:pPr>
              <w:jc w:val="center"/>
              <w:rPr>
                <w:rFonts w:hint="eastAsia"/>
              </w:rPr>
            </w:pPr>
            <w:r>
              <w:rPr>
                <w:rFonts w:hint="eastAsia"/>
                <w:lang w:eastAsia="zh-CN"/>
              </w:rPr>
              <w:t>框架</w:t>
            </w:r>
          </w:p>
        </w:tc>
        <w:tc>
          <w:tcPr>
            <w:tcW w:w="921" w:type="pct"/>
            <w:vAlign w:val="center"/>
          </w:tcPr>
          <w:p>
            <w:pPr>
              <w:jc w:val="center"/>
              <w:rPr>
                <w:rFonts w:hint="eastAsia"/>
                <w:lang w:eastAsia="zh-CN"/>
              </w:rPr>
            </w:pPr>
            <w:r>
              <w:rPr>
                <w:rFonts w:hint="eastAsia"/>
                <w:lang w:eastAsia="zh-CN"/>
              </w:rPr>
              <w:t>天然地基或桩基础</w:t>
            </w:r>
          </w:p>
        </w:tc>
        <w:tc>
          <w:tcPr>
            <w:tcW w:w="1175" w:type="pct"/>
            <w:vAlign w:val="center"/>
          </w:tcPr>
          <w:p>
            <w:pPr>
              <w:jc w:val="center"/>
              <w:rPr>
                <w:rFonts w:hint="default"/>
                <w:lang w:val="en-US"/>
              </w:rPr>
            </w:pPr>
            <w:r>
              <w:rPr>
                <w:rFonts w:hint="eastAsia"/>
                <w:lang w:val="en-US" w:eastAsia="zh-CN"/>
              </w:rPr>
              <w:t>208.70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396" w:type="pct"/>
            <w:vAlign w:val="center"/>
          </w:tcPr>
          <w:p>
            <w:pPr>
              <w:jc w:val="center"/>
              <w:rPr>
                <w:rFonts w:hint="default"/>
                <w:lang w:val="en-US" w:eastAsia="zh-CN"/>
              </w:rPr>
            </w:pPr>
            <w:r>
              <w:rPr>
                <w:rFonts w:hint="eastAsia"/>
                <w:lang w:val="en-US" w:eastAsia="zh-CN"/>
              </w:rPr>
              <w:t>16-S-11</w:t>
            </w:r>
          </w:p>
        </w:tc>
        <w:tc>
          <w:tcPr>
            <w:tcW w:w="694" w:type="pct"/>
            <w:vAlign w:val="center"/>
          </w:tcPr>
          <w:p>
            <w:pPr>
              <w:jc w:val="center"/>
              <w:rPr>
                <w:rFonts w:hint="eastAsia"/>
              </w:rPr>
            </w:pPr>
            <w:r>
              <w:rPr>
                <w:rFonts w:hint="eastAsia"/>
                <w:lang w:eastAsia="zh-CN"/>
              </w:rPr>
              <w:t>幼儿园</w:t>
            </w:r>
          </w:p>
        </w:tc>
        <w:tc>
          <w:tcPr>
            <w:tcW w:w="826" w:type="pct"/>
            <w:vAlign w:val="center"/>
          </w:tcPr>
          <w:p>
            <w:pPr>
              <w:jc w:val="center"/>
              <w:rPr>
                <w:rFonts w:hint="eastAsia" w:eastAsia="宋体"/>
                <w:lang w:val="en-US" w:eastAsia="zh-CN"/>
              </w:rPr>
            </w:pPr>
            <w:r>
              <w:rPr>
                <w:rFonts w:hint="eastAsia"/>
                <w:lang w:val="en-US" w:eastAsia="zh-CN"/>
              </w:rPr>
              <w:t>3</w:t>
            </w:r>
          </w:p>
        </w:tc>
        <w:tc>
          <w:tcPr>
            <w:tcW w:w="457" w:type="pct"/>
            <w:vAlign w:val="center"/>
          </w:tcPr>
          <w:p>
            <w:pPr>
              <w:jc w:val="center"/>
              <w:rPr>
                <w:rFonts w:hint="default" w:eastAsia="宋体"/>
                <w:lang w:val="en-US" w:eastAsia="zh-CN"/>
              </w:rPr>
            </w:pPr>
            <w:r>
              <w:rPr>
                <w:rFonts w:hint="eastAsia"/>
                <w:lang w:val="en-US" w:eastAsia="zh-CN"/>
              </w:rPr>
              <w:t>11.85</w:t>
            </w:r>
          </w:p>
        </w:tc>
        <w:tc>
          <w:tcPr>
            <w:tcW w:w="528" w:type="pct"/>
            <w:vAlign w:val="center"/>
          </w:tcPr>
          <w:p>
            <w:pPr>
              <w:jc w:val="center"/>
              <w:rPr>
                <w:rFonts w:hint="eastAsia"/>
              </w:rPr>
            </w:pPr>
            <w:r>
              <w:rPr>
                <w:rFonts w:hint="eastAsia"/>
                <w:lang w:eastAsia="zh-CN"/>
              </w:rPr>
              <w:t>框架</w:t>
            </w:r>
          </w:p>
        </w:tc>
        <w:tc>
          <w:tcPr>
            <w:tcW w:w="921" w:type="pct"/>
            <w:vAlign w:val="center"/>
          </w:tcPr>
          <w:p>
            <w:pPr>
              <w:jc w:val="center"/>
              <w:rPr>
                <w:rFonts w:hint="eastAsia"/>
                <w:lang w:eastAsia="zh-CN"/>
              </w:rPr>
            </w:pPr>
            <w:r>
              <w:rPr>
                <w:rFonts w:hint="eastAsia"/>
                <w:lang w:eastAsia="zh-CN"/>
              </w:rPr>
              <w:t>天然地基或桩基础</w:t>
            </w:r>
          </w:p>
        </w:tc>
        <w:tc>
          <w:tcPr>
            <w:tcW w:w="1175" w:type="pct"/>
            <w:vAlign w:val="center"/>
          </w:tcPr>
          <w:p>
            <w:pPr>
              <w:jc w:val="center"/>
              <w:rPr>
                <w:rFonts w:hint="eastAsia"/>
              </w:rPr>
            </w:pPr>
            <w:r>
              <w:rPr>
                <w:rFonts w:hint="eastAsia"/>
                <w:lang w:val="en-US" w:eastAsia="zh-CN"/>
              </w:rPr>
              <w:t>209.05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396" w:type="pct"/>
            <w:vAlign w:val="center"/>
          </w:tcPr>
          <w:p>
            <w:pPr>
              <w:jc w:val="center"/>
              <w:rPr>
                <w:rFonts w:hint="default"/>
                <w:lang w:val="en-US" w:eastAsia="zh-CN"/>
              </w:rPr>
            </w:pPr>
            <w:r>
              <w:rPr>
                <w:rFonts w:hint="eastAsia"/>
                <w:lang w:val="en-US" w:eastAsia="zh-CN"/>
              </w:rPr>
              <w:t>F1</w:t>
            </w:r>
          </w:p>
        </w:tc>
        <w:tc>
          <w:tcPr>
            <w:tcW w:w="694" w:type="pct"/>
            <w:vAlign w:val="center"/>
          </w:tcPr>
          <w:p>
            <w:pPr>
              <w:jc w:val="center"/>
              <w:rPr>
                <w:rFonts w:hint="eastAsia"/>
                <w:lang w:eastAsia="zh-CN"/>
              </w:rPr>
            </w:pPr>
            <w:r>
              <w:rPr>
                <w:rFonts w:hint="eastAsia"/>
                <w:lang w:eastAsia="zh-CN"/>
              </w:rPr>
              <w:t>开闭所</w:t>
            </w:r>
          </w:p>
        </w:tc>
        <w:tc>
          <w:tcPr>
            <w:tcW w:w="826" w:type="pct"/>
            <w:vAlign w:val="center"/>
          </w:tcPr>
          <w:p>
            <w:pPr>
              <w:jc w:val="center"/>
              <w:rPr>
                <w:rFonts w:hint="eastAsia" w:eastAsia="宋体"/>
                <w:lang w:val="en-US" w:eastAsia="zh-CN"/>
              </w:rPr>
            </w:pPr>
            <w:r>
              <w:rPr>
                <w:rFonts w:hint="eastAsia"/>
                <w:lang w:val="en-US" w:eastAsia="zh-CN"/>
              </w:rPr>
              <w:t>1</w:t>
            </w:r>
          </w:p>
        </w:tc>
        <w:tc>
          <w:tcPr>
            <w:tcW w:w="457" w:type="pct"/>
            <w:vAlign w:val="center"/>
          </w:tcPr>
          <w:p>
            <w:pPr>
              <w:jc w:val="center"/>
              <w:rPr>
                <w:rFonts w:hint="default" w:eastAsia="宋体"/>
                <w:lang w:val="en-US" w:eastAsia="zh-CN"/>
              </w:rPr>
            </w:pPr>
            <w:r>
              <w:rPr>
                <w:rFonts w:hint="eastAsia"/>
                <w:lang w:val="en-US" w:eastAsia="zh-CN"/>
              </w:rPr>
              <w:t>6.00</w:t>
            </w:r>
          </w:p>
        </w:tc>
        <w:tc>
          <w:tcPr>
            <w:tcW w:w="528" w:type="pct"/>
            <w:vAlign w:val="center"/>
          </w:tcPr>
          <w:p>
            <w:pPr>
              <w:jc w:val="center"/>
              <w:rPr>
                <w:rFonts w:hint="eastAsia"/>
              </w:rPr>
            </w:pPr>
            <w:r>
              <w:rPr>
                <w:rFonts w:hint="eastAsia"/>
                <w:lang w:eastAsia="zh-CN"/>
              </w:rPr>
              <w:t>框架</w:t>
            </w:r>
          </w:p>
        </w:tc>
        <w:tc>
          <w:tcPr>
            <w:tcW w:w="921" w:type="pct"/>
            <w:vAlign w:val="center"/>
          </w:tcPr>
          <w:p>
            <w:pPr>
              <w:jc w:val="center"/>
              <w:rPr>
                <w:rFonts w:hint="eastAsia"/>
                <w:lang w:eastAsia="zh-CN"/>
              </w:rPr>
            </w:pPr>
            <w:r>
              <w:rPr>
                <w:rFonts w:hint="eastAsia"/>
                <w:lang w:eastAsia="zh-CN"/>
              </w:rPr>
              <w:t>天然地基或桩基础</w:t>
            </w:r>
          </w:p>
        </w:tc>
        <w:tc>
          <w:tcPr>
            <w:tcW w:w="1175" w:type="pct"/>
            <w:vAlign w:val="center"/>
          </w:tcPr>
          <w:p>
            <w:pPr>
              <w:jc w:val="center"/>
              <w:rPr>
                <w:rFonts w:hint="default"/>
                <w:lang w:val="en-US"/>
              </w:rPr>
            </w:pPr>
            <w:r>
              <w:rPr>
                <w:rFonts w:hint="eastAsia"/>
                <w:lang w:val="en-US" w:eastAsia="zh-CN"/>
              </w:rPr>
              <w:t>209.40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396" w:type="pct"/>
            <w:vAlign w:val="center"/>
          </w:tcPr>
          <w:p>
            <w:pPr>
              <w:jc w:val="center"/>
              <w:rPr>
                <w:rFonts w:hint="default"/>
                <w:lang w:val="en-US" w:eastAsia="zh-CN"/>
              </w:rPr>
            </w:pPr>
            <w:r>
              <w:rPr>
                <w:rFonts w:hint="eastAsia"/>
                <w:lang w:val="en-US" w:eastAsia="zh-CN"/>
              </w:rPr>
              <w:t>F2</w:t>
            </w:r>
          </w:p>
        </w:tc>
        <w:tc>
          <w:tcPr>
            <w:tcW w:w="694" w:type="pct"/>
            <w:vAlign w:val="center"/>
          </w:tcPr>
          <w:p>
            <w:pPr>
              <w:jc w:val="center"/>
              <w:rPr>
                <w:rFonts w:hint="eastAsia"/>
                <w:lang w:eastAsia="zh-CN"/>
              </w:rPr>
            </w:pPr>
            <w:r>
              <w:rPr>
                <w:rFonts w:hint="eastAsia"/>
                <w:lang w:eastAsia="zh-CN"/>
              </w:rPr>
              <w:t>换热站</w:t>
            </w:r>
          </w:p>
        </w:tc>
        <w:tc>
          <w:tcPr>
            <w:tcW w:w="826" w:type="pct"/>
            <w:vAlign w:val="center"/>
          </w:tcPr>
          <w:p>
            <w:pPr>
              <w:jc w:val="center"/>
              <w:rPr>
                <w:rFonts w:hint="default" w:eastAsia="宋体"/>
                <w:lang w:val="en-US" w:eastAsia="zh-CN"/>
              </w:rPr>
            </w:pPr>
            <w:r>
              <w:rPr>
                <w:rFonts w:hint="eastAsia"/>
                <w:lang w:val="en-US" w:eastAsia="zh-CN"/>
              </w:rPr>
              <w:t>-1</w:t>
            </w:r>
          </w:p>
        </w:tc>
        <w:tc>
          <w:tcPr>
            <w:tcW w:w="457" w:type="pct"/>
            <w:vAlign w:val="center"/>
          </w:tcPr>
          <w:p>
            <w:pPr>
              <w:jc w:val="center"/>
              <w:rPr>
                <w:rFonts w:hint="eastAsia" w:eastAsia="宋体"/>
                <w:lang w:eastAsia="zh-CN"/>
              </w:rPr>
            </w:pPr>
            <w:r>
              <w:rPr>
                <w:rFonts w:hint="eastAsia"/>
                <w:lang w:eastAsia="zh-CN"/>
              </w:rPr>
              <w:t>—</w:t>
            </w:r>
          </w:p>
        </w:tc>
        <w:tc>
          <w:tcPr>
            <w:tcW w:w="528" w:type="pct"/>
            <w:vAlign w:val="center"/>
          </w:tcPr>
          <w:p>
            <w:pPr>
              <w:jc w:val="center"/>
              <w:rPr>
                <w:rFonts w:hint="eastAsia"/>
              </w:rPr>
            </w:pPr>
            <w:r>
              <w:rPr>
                <w:rFonts w:hint="eastAsia"/>
                <w:lang w:eastAsia="zh-CN"/>
              </w:rPr>
              <w:t>框架</w:t>
            </w:r>
          </w:p>
        </w:tc>
        <w:tc>
          <w:tcPr>
            <w:tcW w:w="921" w:type="pct"/>
            <w:vAlign w:val="center"/>
          </w:tcPr>
          <w:p>
            <w:pPr>
              <w:jc w:val="center"/>
              <w:rPr>
                <w:rFonts w:hint="eastAsia"/>
                <w:lang w:eastAsia="zh-CN"/>
              </w:rPr>
            </w:pPr>
            <w:r>
              <w:rPr>
                <w:rFonts w:hint="eastAsia"/>
                <w:lang w:eastAsia="zh-CN"/>
              </w:rPr>
              <w:t>天然地基或桩基础</w:t>
            </w:r>
          </w:p>
        </w:tc>
        <w:tc>
          <w:tcPr>
            <w:tcW w:w="1175" w:type="pct"/>
            <w:vAlign w:val="center"/>
          </w:tcPr>
          <w:p>
            <w:pPr>
              <w:jc w:val="center"/>
              <w:rPr>
                <w:rFonts w:hint="eastAsia"/>
              </w:rPr>
            </w:pPr>
            <w:r>
              <w:rPr>
                <w:rFonts w:hint="eastAsia"/>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396" w:type="pct"/>
            <w:vAlign w:val="center"/>
          </w:tcPr>
          <w:p>
            <w:pPr>
              <w:jc w:val="center"/>
              <w:rPr>
                <w:rFonts w:hint="default"/>
                <w:lang w:val="en-US" w:eastAsia="zh-CN"/>
              </w:rPr>
            </w:pPr>
            <w:r>
              <w:rPr>
                <w:rFonts w:hint="eastAsia"/>
                <w:lang w:val="en-US" w:eastAsia="zh-CN"/>
              </w:rPr>
              <w:t>DK1</w:t>
            </w:r>
          </w:p>
        </w:tc>
        <w:tc>
          <w:tcPr>
            <w:tcW w:w="694" w:type="pct"/>
            <w:vAlign w:val="center"/>
          </w:tcPr>
          <w:p>
            <w:pPr>
              <w:jc w:val="center"/>
              <w:rPr>
                <w:rFonts w:hint="eastAsia"/>
                <w:lang w:eastAsia="zh-CN"/>
              </w:rPr>
            </w:pPr>
            <w:r>
              <w:rPr>
                <w:rFonts w:hint="eastAsia"/>
                <w:lang w:eastAsia="zh-CN"/>
              </w:rPr>
              <w:t>地下车库</w:t>
            </w:r>
          </w:p>
        </w:tc>
        <w:tc>
          <w:tcPr>
            <w:tcW w:w="826" w:type="pct"/>
            <w:vAlign w:val="center"/>
          </w:tcPr>
          <w:p>
            <w:pPr>
              <w:jc w:val="center"/>
              <w:rPr>
                <w:rFonts w:hint="default" w:eastAsia="宋体"/>
                <w:lang w:val="en-US" w:eastAsia="zh-CN"/>
              </w:rPr>
            </w:pPr>
            <w:r>
              <w:rPr>
                <w:rFonts w:hint="eastAsia"/>
                <w:lang w:val="en-US" w:eastAsia="zh-CN"/>
              </w:rPr>
              <w:t>-1</w:t>
            </w:r>
          </w:p>
        </w:tc>
        <w:tc>
          <w:tcPr>
            <w:tcW w:w="457" w:type="pct"/>
            <w:vAlign w:val="center"/>
          </w:tcPr>
          <w:p>
            <w:pPr>
              <w:jc w:val="center"/>
              <w:rPr>
                <w:rFonts w:hint="eastAsia"/>
              </w:rPr>
            </w:pPr>
            <w:r>
              <w:rPr>
                <w:rFonts w:hint="eastAsia"/>
                <w:lang w:eastAsia="zh-CN"/>
              </w:rPr>
              <w:t>—</w:t>
            </w:r>
          </w:p>
        </w:tc>
        <w:tc>
          <w:tcPr>
            <w:tcW w:w="528" w:type="pct"/>
            <w:vAlign w:val="center"/>
          </w:tcPr>
          <w:p>
            <w:pPr>
              <w:jc w:val="center"/>
              <w:rPr>
                <w:rFonts w:hint="eastAsia"/>
              </w:rPr>
            </w:pPr>
            <w:r>
              <w:rPr>
                <w:rFonts w:hint="eastAsia"/>
                <w:lang w:eastAsia="zh-CN"/>
              </w:rPr>
              <w:t>框架</w:t>
            </w:r>
          </w:p>
        </w:tc>
        <w:tc>
          <w:tcPr>
            <w:tcW w:w="921" w:type="pct"/>
            <w:vAlign w:val="center"/>
          </w:tcPr>
          <w:p>
            <w:pPr>
              <w:jc w:val="center"/>
              <w:rPr>
                <w:rFonts w:hint="eastAsia"/>
                <w:lang w:eastAsia="zh-CN"/>
              </w:rPr>
            </w:pPr>
            <w:r>
              <w:rPr>
                <w:rFonts w:hint="eastAsia"/>
                <w:lang w:eastAsia="zh-CN"/>
              </w:rPr>
              <w:t>天然地基或桩基础</w:t>
            </w:r>
          </w:p>
        </w:tc>
        <w:tc>
          <w:tcPr>
            <w:tcW w:w="1175" w:type="pct"/>
            <w:vAlign w:val="center"/>
          </w:tcPr>
          <w:p>
            <w:pPr>
              <w:jc w:val="center"/>
              <w:rPr>
                <w:rFonts w:hint="default"/>
                <w:lang w:val="en-US" w:eastAsia="zh-CN"/>
              </w:rPr>
            </w:pPr>
            <w:r>
              <w:rPr>
                <w:rFonts w:hint="eastAsia"/>
                <w:lang w:eastAsia="zh-CN"/>
              </w:rPr>
              <w:t>埋深约</w:t>
            </w:r>
            <w:r>
              <w:rPr>
                <w:rFonts w:hint="eastAsia"/>
                <w:lang w:val="en-US" w:eastAsia="zh-CN"/>
              </w:rPr>
              <w:t>6.0m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396" w:type="pct"/>
            <w:vAlign w:val="center"/>
          </w:tcPr>
          <w:p>
            <w:pPr>
              <w:jc w:val="center"/>
              <w:rPr>
                <w:rFonts w:hint="default"/>
                <w:lang w:val="en-US" w:eastAsia="zh-CN"/>
              </w:rPr>
            </w:pPr>
            <w:r>
              <w:rPr>
                <w:rFonts w:hint="eastAsia"/>
                <w:lang w:val="en-US" w:eastAsia="zh-CN"/>
              </w:rPr>
              <w:t>DK2</w:t>
            </w:r>
          </w:p>
        </w:tc>
        <w:tc>
          <w:tcPr>
            <w:tcW w:w="694" w:type="pct"/>
            <w:vAlign w:val="center"/>
          </w:tcPr>
          <w:p>
            <w:pPr>
              <w:jc w:val="center"/>
              <w:rPr>
                <w:rFonts w:hint="eastAsia"/>
                <w:lang w:eastAsia="zh-CN"/>
              </w:rPr>
            </w:pPr>
            <w:r>
              <w:rPr>
                <w:rFonts w:hint="eastAsia"/>
                <w:lang w:eastAsia="zh-CN"/>
              </w:rPr>
              <w:t>地下车库</w:t>
            </w:r>
          </w:p>
        </w:tc>
        <w:tc>
          <w:tcPr>
            <w:tcW w:w="826" w:type="pct"/>
            <w:vAlign w:val="center"/>
          </w:tcPr>
          <w:p>
            <w:pPr>
              <w:jc w:val="center"/>
              <w:rPr>
                <w:rFonts w:hint="default" w:eastAsia="宋体"/>
                <w:lang w:val="en-US" w:eastAsia="zh-CN"/>
              </w:rPr>
            </w:pPr>
            <w:r>
              <w:rPr>
                <w:rFonts w:hint="eastAsia"/>
                <w:lang w:val="en-US" w:eastAsia="zh-CN"/>
              </w:rPr>
              <w:t>-1</w:t>
            </w:r>
          </w:p>
        </w:tc>
        <w:tc>
          <w:tcPr>
            <w:tcW w:w="457" w:type="pct"/>
            <w:vAlign w:val="center"/>
          </w:tcPr>
          <w:p>
            <w:pPr>
              <w:jc w:val="center"/>
              <w:rPr>
                <w:rFonts w:hint="eastAsia"/>
              </w:rPr>
            </w:pPr>
            <w:r>
              <w:rPr>
                <w:rFonts w:hint="eastAsia"/>
                <w:lang w:eastAsia="zh-CN"/>
              </w:rPr>
              <w:t>—</w:t>
            </w:r>
          </w:p>
        </w:tc>
        <w:tc>
          <w:tcPr>
            <w:tcW w:w="528" w:type="pct"/>
            <w:vAlign w:val="center"/>
          </w:tcPr>
          <w:p>
            <w:pPr>
              <w:jc w:val="center"/>
              <w:rPr>
                <w:rFonts w:hint="eastAsia"/>
              </w:rPr>
            </w:pPr>
            <w:r>
              <w:rPr>
                <w:rFonts w:hint="eastAsia"/>
                <w:lang w:eastAsia="zh-CN"/>
              </w:rPr>
              <w:t>框架</w:t>
            </w:r>
          </w:p>
        </w:tc>
        <w:tc>
          <w:tcPr>
            <w:tcW w:w="921" w:type="pct"/>
            <w:vAlign w:val="center"/>
          </w:tcPr>
          <w:p>
            <w:pPr>
              <w:jc w:val="center"/>
              <w:rPr>
                <w:rFonts w:hint="eastAsia"/>
                <w:lang w:eastAsia="zh-CN"/>
              </w:rPr>
            </w:pPr>
            <w:r>
              <w:rPr>
                <w:rFonts w:hint="eastAsia"/>
                <w:lang w:eastAsia="zh-CN"/>
              </w:rPr>
              <w:t>天然地基或桩基础</w:t>
            </w:r>
          </w:p>
        </w:tc>
        <w:tc>
          <w:tcPr>
            <w:tcW w:w="1175" w:type="pct"/>
            <w:vAlign w:val="center"/>
          </w:tcPr>
          <w:p>
            <w:pPr>
              <w:jc w:val="center"/>
              <w:rPr>
                <w:rFonts w:hint="eastAsia"/>
              </w:rPr>
            </w:pPr>
            <w:r>
              <w:rPr>
                <w:rFonts w:hint="eastAsia"/>
                <w:lang w:eastAsia="zh-CN"/>
              </w:rPr>
              <w:t>埋深约</w:t>
            </w:r>
            <w:r>
              <w:rPr>
                <w:rFonts w:hint="eastAsia"/>
                <w:lang w:val="en-US" w:eastAsia="zh-CN"/>
              </w:rPr>
              <w:t>6.0m</w:t>
            </w:r>
          </w:p>
        </w:tc>
      </w:tr>
    </w:tbl>
    <w:p>
      <w:pPr>
        <w:pStyle w:val="3"/>
        <w:keepNext w:val="0"/>
        <w:keepLines w:val="0"/>
        <w:numPr>
          <w:ilvl w:val="1"/>
          <w:numId w:val="2"/>
        </w:numPr>
        <w:spacing w:before="0" w:after="0" w:line="480" w:lineRule="auto"/>
        <w:ind w:left="0"/>
        <w:jc w:val="left"/>
        <w:rPr>
          <w:rFonts w:ascii="Times New Roman" w:hAnsi="Times New Roman" w:eastAsia="黑体" w:cstheme="majorBidi"/>
          <w:sz w:val="28"/>
        </w:rPr>
      </w:pPr>
      <w:bookmarkStart w:id="2" w:name="_Toc10468501"/>
      <w:r>
        <w:rPr>
          <w:rFonts w:hint="eastAsia" w:ascii="Times New Roman" w:hAnsi="Times New Roman" w:eastAsia="黑体" w:cstheme="majorBidi"/>
          <w:sz w:val="28"/>
        </w:rPr>
        <w:t>岩土工程勘察目的、任务要求和依据的技术标准</w:t>
      </w:r>
      <w:bookmarkEnd w:id="2"/>
    </w:p>
    <w:p>
      <w:pPr>
        <w:pStyle w:val="54"/>
        <w:numPr>
          <w:ilvl w:val="0"/>
          <w:numId w:val="0"/>
        </w:numPr>
        <w:spacing w:line="480" w:lineRule="exact"/>
        <w:rPr>
          <w:sz w:val="24"/>
        </w:rPr>
      </w:pPr>
      <w:bookmarkStart w:id="3" w:name="_Toc10468502"/>
      <w:bookmarkStart w:id="4" w:name="_Toc10466600"/>
      <w:r>
        <w:rPr>
          <w:rFonts w:hint="eastAsia"/>
          <w:sz w:val="24"/>
        </w:rPr>
        <w:t>1.2.1.勘察目的</w:t>
      </w:r>
      <w:bookmarkEnd w:id="3"/>
      <w:bookmarkEnd w:id="4"/>
    </w:p>
    <w:p>
      <w:pPr>
        <w:pStyle w:val="56"/>
        <w:spacing w:line="480" w:lineRule="exact"/>
        <w:ind w:firstLine="480"/>
        <w:rPr>
          <w:rFonts w:ascii="Times New Roman" w:hAnsi="Times New Roman" w:cs="Times New Roman"/>
          <w:sz w:val="24"/>
          <w:szCs w:val="24"/>
          <w:lang w:val="en-US"/>
        </w:rPr>
      </w:pPr>
      <w:r>
        <w:rPr>
          <w:rFonts w:hint="eastAsia" w:ascii="Times New Roman" w:hAnsi="Times New Roman" w:cs="Times New Roman"/>
          <w:sz w:val="24"/>
          <w:szCs w:val="24"/>
          <w:lang w:val="en-US"/>
        </w:rPr>
        <w:t>本次勘察为详细阶段的岩土工程勘察，目的是正确反映拟建场地的岩土工程条件，掌握各土层空间分布及变化规律，对场地的稳定性、均匀性作出合理评价。对建筑地基作出岩土工程评价，并对地基类型、基础形式、地基处理、基坑支护、工程降水和不良地质作用的防治等作出建议。提供满足设计、施工所需的岩土工程参数及安全可靠、技术可行、经济合理的一种或几种地基基础方案建议。</w:t>
      </w:r>
    </w:p>
    <w:p>
      <w:pPr>
        <w:pStyle w:val="54"/>
        <w:numPr>
          <w:ilvl w:val="0"/>
          <w:numId w:val="0"/>
        </w:numPr>
        <w:spacing w:line="460" w:lineRule="exact"/>
        <w:rPr>
          <w:sz w:val="24"/>
        </w:rPr>
      </w:pPr>
      <w:bookmarkStart w:id="5" w:name="_Toc10466601"/>
      <w:bookmarkStart w:id="6" w:name="_Toc10468503"/>
      <w:r>
        <w:rPr>
          <w:rFonts w:hint="eastAsia"/>
          <w:sz w:val="24"/>
        </w:rPr>
        <w:t>1.2.2.任务要求</w:t>
      </w:r>
      <w:bookmarkEnd w:id="5"/>
      <w:bookmarkEnd w:id="6"/>
    </w:p>
    <w:p>
      <w:pPr>
        <w:pStyle w:val="66"/>
        <w:spacing w:line="460" w:lineRule="exact"/>
        <w:rPr>
          <w:sz w:val="24"/>
        </w:rPr>
      </w:pPr>
      <w:r>
        <w:rPr>
          <w:rFonts w:hint="eastAsia"/>
          <w:sz w:val="24"/>
        </w:rPr>
        <w:t>搜集附有坐标和地形的建筑总平面图，场区的地面整平标高，建筑物的性质、规模、荷载、结构特点，基础形式、埋置深度，地基允许变形等资料。</w:t>
      </w:r>
    </w:p>
    <w:p>
      <w:pPr>
        <w:pStyle w:val="66"/>
        <w:spacing w:line="460" w:lineRule="exact"/>
        <w:rPr>
          <w:sz w:val="24"/>
        </w:rPr>
      </w:pPr>
      <w:r>
        <w:rPr>
          <w:rFonts w:hint="eastAsia"/>
          <w:sz w:val="24"/>
        </w:rPr>
        <w:t>查明有无影响场地稳定性的不良地质作用。若存在时，分析其成因类型、分布范围，预测其发展趋势和危害程度，评价其对工程建设的影响，提出预防措施。</w:t>
      </w:r>
    </w:p>
    <w:p>
      <w:pPr>
        <w:pStyle w:val="66"/>
        <w:spacing w:line="460" w:lineRule="exact"/>
        <w:rPr>
          <w:sz w:val="24"/>
        </w:rPr>
      </w:pPr>
      <w:r>
        <w:rPr>
          <w:rFonts w:hint="eastAsia"/>
          <w:sz w:val="24"/>
        </w:rPr>
        <w:t>查明场地内的地层结构、分布规律、各层岩土的物理力学性质。对各层岩土工程特性进行评价，提供各层岩土的承载力特征值及满足设计、施工所需的岩土参数。</w:t>
      </w:r>
    </w:p>
    <w:p>
      <w:pPr>
        <w:pStyle w:val="66"/>
        <w:spacing w:line="460" w:lineRule="exact"/>
        <w:rPr>
          <w:sz w:val="24"/>
        </w:rPr>
      </w:pPr>
      <w:r>
        <w:rPr>
          <w:rFonts w:hint="eastAsia"/>
          <w:sz w:val="24"/>
        </w:rPr>
        <w:t>查明场地地下水的类型、埋藏条件，分析其动态变化特征及其对工程的影响。评价其对主要基础结构材料的腐蚀性。</w:t>
      </w:r>
    </w:p>
    <w:p>
      <w:pPr>
        <w:pStyle w:val="66"/>
        <w:spacing w:line="480" w:lineRule="exact"/>
        <w:rPr>
          <w:sz w:val="24"/>
        </w:rPr>
      </w:pPr>
      <w:r>
        <w:rPr>
          <w:rFonts w:hint="eastAsia"/>
          <w:sz w:val="24"/>
        </w:rPr>
        <w:t>提供场地抗震设防基本烈度，判明场地土类型及场地类别，查明场地内有无液化地层并对液化可能性作出评价。</w:t>
      </w:r>
    </w:p>
    <w:p>
      <w:pPr>
        <w:pStyle w:val="66"/>
        <w:spacing w:line="460" w:lineRule="exact"/>
        <w:rPr>
          <w:sz w:val="24"/>
        </w:rPr>
      </w:pPr>
      <w:r>
        <w:rPr>
          <w:rFonts w:hint="eastAsia"/>
          <w:sz w:val="24"/>
        </w:rPr>
        <w:t>综合考虑地层组合、变形控制等影响因素，提供场区各层岩土的地基承载力特征值。分层承载力，以及分析地基基础工程问题。对本工程的地基基础方案进行比选分析与评价，建议适宜的地基基础方案和相关技术参数。</w:t>
      </w:r>
    </w:p>
    <w:p>
      <w:pPr>
        <w:pStyle w:val="66"/>
        <w:spacing w:line="460" w:lineRule="exact"/>
        <w:rPr>
          <w:sz w:val="24"/>
        </w:rPr>
      </w:pPr>
      <w:r>
        <w:rPr>
          <w:rFonts w:hint="eastAsia"/>
          <w:sz w:val="24"/>
        </w:rPr>
        <w:t>针对场区的岩土工程条件和环境特征，对基坑工程降水及边坡稳定作出建议，提供必要的岩土参数。</w:t>
      </w:r>
    </w:p>
    <w:p>
      <w:pPr>
        <w:pStyle w:val="54"/>
        <w:numPr>
          <w:ilvl w:val="0"/>
          <w:numId w:val="0"/>
        </w:numPr>
        <w:spacing w:line="460" w:lineRule="exact"/>
        <w:rPr>
          <w:color w:val="000000"/>
          <w:sz w:val="24"/>
          <w:lang w:val="zh-CN"/>
        </w:rPr>
      </w:pPr>
      <w:bookmarkStart w:id="7" w:name="_Toc10468504"/>
      <w:bookmarkStart w:id="8" w:name="_Toc10466602"/>
      <w:r>
        <w:rPr>
          <w:rFonts w:hint="eastAsia"/>
          <w:color w:val="000000"/>
          <w:sz w:val="24"/>
        </w:rPr>
        <mc:AlternateContent>
          <mc:Choice Requires="wps">
            <w:drawing>
              <wp:anchor distT="0" distB="0" distL="114300" distR="114300" simplePos="0" relativeHeight="251657216" behindDoc="0" locked="0" layoutInCell="1" allowOverlap="0">
                <wp:simplePos x="0" y="0"/>
                <wp:positionH relativeFrom="column">
                  <wp:posOffset>-5488940</wp:posOffset>
                </wp:positionH>
                <wp:positionV relativeFrom="paragraph">
                  <wp:posOffset>67945</wp:posOffset>
                </wp:positionV>
                <wp:extent cx="1790700" cy="38100"/>
                <wp:effectExtent l="0" t="1270" r="2540" b="0"/>
                <wp:wrapNone/>
                <wp:docPr id="1" name="自选图形 7"/>
                <wp:cNvGraphicFramePr/>
                <a:graphic xmlns:a="http://schemas.openxmlformats.org/drawingml/2006/main">
                  <a:graphicData uri="http://schemas.microsoft.com/office/word/2010/wordprocessingShape">
                    <wps:wsp>
                      <wps:cNvCnPr>
                        <a:cxnSpLocks noChangeShapeType="1"/>
                      </wps:cNvCnPr>
                      <wps:spPr bwMode="auto">
                        <a:xfrm flipH="1">
                          <a:off x="0" y="0"/>
                          <a:ext cx="1790700" cy="38100"/>
                        </a:xfrm>
                        <a:prstGeom prst="straightConnector1">
                          <a:avLst/>
                        </a:prstGeom>
                        <a:noFill/>
                        <a:ln>
                          <a:noFill/>
                        </a:ln>
                        <a:effectLst/>
                      </wps:spPr>
                      <wps:bodyPr/>
                    </wps:wsp>
                  </a:graphicData>
                </a:graphic>
              </wp:anchor>
            </w:drawing>
          </mc:Choice>
          <mc:Fallback>
            <w:pict>
              <v:shape id="自选图形 7" o:spid="_x0000_s1026" o:spt="32" type="#_x0000_t32" style="position:absolute;left:0pt;flip:x;margin-left:-432.2pt;margin-top:5.35pt;height:3pt;width:141pt;z-index:251657216;mso-width-relative:page;mso-height-relative:page;" filled="f" stroked="f" coordsize="21600,21600" o:allowoverlap="f" o:gfxdata="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htwAEdcAAAALAQAADwAAAAAAAAABACAAAAAiAAAAZHJzL2Rvd25yZXYueG1sUEsB&#10;AhQAFAAAAAgAh07iQGA5tty9AQAARwMAAA4AAAAAAAAAAQAgAAAAJgEAAGRycy9lMm9Eb2MueG1s&#10;UEsFBgAAAAAGAAYAWQEAAFUFAAAAAA==&#10;">
                <v:fill on="f" focussize="0,0"/>
                <v:stroke on="f"/>
                <v:imagedata o:title=""/>
                <o:lock v:ext="edit" aspectratio="f"/>
              </v:shape>
            </w:pict>
          </mc:Fallback>
        </mc:AlternateContent>
      </w:r>
      <w:r>
        <w:rPr>
          <w:rFonts w:hint="eastAsia"/>
          <w:color w:val="000000"/>
          <w:sz w:val="24"/>
          <w:lang w:val="zh-CN"/>
        </w:rPr>
        <w:t>1.2.3.依据的技术文件</w:t>
      </w:r>
      <w:bookmarkEnd w:id="7"/>
      <w:bookmarkEnd w:id="8"/>
    </w:p>
    <w:p>
      <w:pPr>
        <w:spacing w:line="360" w:lineRule="auto"/>
        <w:rPr>
          <w:sz w:val="24"/>
        </w:rPr>
      </w:pPr>
      <w:r>
        <w:rPr>
          <w:rFonts w:hint="eastAsia"/>
          <w:b/>
          <w:sz w:val="24"/>
        </w:rPr>
        <w:t>1.2.3.1.</w:t>
      </w:r>
      <w:r>
        <w:rPr>
          <w:rFonts w:hint="eastAsia"/>
          <w:sz w:val="24"/>
        </w:rPr>
        <w:t>岩土工程勘察合同</w:t>
      </w:r>
    </w:p>
    <w:p>
      <w:pPr>
        <w:spacing w:line="360" w:lineRule="auto"/>
        <w:rPr>
          <w:sz w:val="24"/>
        </w:rPr>
      </w:pPr>
      <w:r>
        <w:rPr>
          <w:rFonts w:hint="eastAsia"/>
          <w:b/>
          <w:sz w:val="24"/>
        </w:rPr>
        <w:t>1.2.3.2.</w:t>
      </w:r>
      <w:r>
        <w:rPr>
          <w:rFonts w:hint="eastAsia"/>
          <w:sz w:val="24"/>
        </w:rPr>
        <w:t>建设单位提供的建筑场地图（电子版）</w:t>
      </w:r>
    </w:p>
    <w:p>
      <w:pPr>
        <w:pStyle w:val="54"/>
        <w:numPr>
          <w:ilvl w:val="0"/>
          <w:numId w:val="0"/>
        </w:numPr>
        <w:spacing w:line="460" w:lineRule="exact"/>
        <w:rPr>
          <w:color w:val="000000"/>
          <w:sz w:val="24"/>
          <w:lang w:val="zh-CN"/>
        </w:rPr>
      </w:pPr>
      <w:bookmarkStart w:id="9" w:name="_Toc10466603"/>
      <w:bookmarkStart w:id="10" w:name="_Toc10468505"/>
      <w:r>
        <w:rPr>
          <w:rFonts w:hint="eastAsia"/>
          <w:color w:val="000000"/>
          <w:sz w:val="24"/>
          <w:lang w:val="zh-CN"/>
        </w:rPr>
        <w:t>1.2.4.依据的技术标准</w:t>
      </w:r>
      <w:bookmarkEnd w:id="9"/>
      <w:bookmarkEnd w:id="10"/>
    </w:p>
    <w:p>
      <w:pPr>
        <w:spacing w:line="360" w:lineRule="auto"/>
        <w:rPr>
          <w:sz w:val="24"/>
        </w:rPr>
      </w:pPr>
      <w:r>
        <w:rPr>
          <w:rFonts w:hint="eastAsia"/>
          <w:b/>
          <w:sz w:val="24"/>
        </w:rPr>
        <w:t>1.2.4.1.国家标准</w:t>
      </w:r>
    </w:p>
    <w:p>
      <w:pPr>
        <w:spacing w:line="360" w:lineRule="auto"/>
        <w:rPr>
          <w:sz w:val="24"/>
        </w:rPr>
      </w:pPr>
      <w:r>
        <w:rPr>
          <w:rFonts w:hint="eastAsia"/>
          <w:sz w:val="24"/>
        </w:rPr>
        <w:t>①《岩土工程勘察规范》GB50021-2001（2009年版）</w:t>
      </w:r>
    </w:p>
    <w:p>
      <w:pPr>
        <w:spacing w:line="360" w:lineRule="auto"/>
        <w:rPr>
          <w:sz w:val="24"/>
        </w:rPr>
      </w:pPr>
      <w:r>
        <w:rPr>
          <w:rFonts w:hint="eastAsia"/>
          <w:sz w:val="24"/>
        </w:rPr>
        <w:t>②《建筑地基基础设计规范》GB50007-2011</w:t>
      </w:r>
    </w:p>
    <w:p>
      <w:pPr>
        <w:spacing w:line="360" w:lineRule="auto"/>
        <w:rPr>
          <w:sz w:val="24"/>
        </w:rPr>
      </w:pPr>
      <w:r>
        <w:rPr>
          <w:rFonts w:hint="eastAsia"/>
          <w:sz w:val="24"/>
        </w:rPr>
        <w:t>③《建筑抗震设计规范》GB50011-2010（2016年版）</w:t>
      </w:r>
    </w:p>
    <w:p>
      <w:pPr>
        <w:spacing w:line="360" w:lineRule="auto"/>
        <w:rPr>
          <w:sz w:val="24"/>
        </w:rPr>
      </w:pPr>
      <w:r>
        <w:rPr>
          <w:rFonts w:hint="eastAsia"/>
          <w:sz w:val="24"/>
        </w:rPr>
        <w:t>④《岩土工程勘察安全标准》GB50585-2019</w:t>
      </w:r>
    </w:p>
    <w:p>
      <w:pPr>
        <w:spacing w:line="360" w:lineRule="auto"/>
        <w:rPr>
          <w:sz w:val="24"/>
        </w:rPr>
      </w:pPr>
      <w:r>
        <w:rPr>
          <w:rFonts w:hint="eastAsia"/>
          <w:sz w:val="24"/>
        </w:rPr>
        <w:t>⑥《土工试验方法标准》GB/T50123-2019</w:t>
      </w:r>
    </w:p>
    <w:p>
      <w:pPr>
        <w:spacing w:line="360" w:lineRule="auto"/>
        <w:rPr>
          <w:sz w:val="24"/>
        </w:rPr>
      </w:pPr>
      <w:r>
        <w:rPr>
          <w:rFonts w:hint="eastAsia"/>
          <w:sz w:val="24"/>
        </w:rPr>
        <w:t>⑦《建筑工程抗震设防分类标准》GB50223-2008</w:t>
      </w:r>
    </w:p>
    <w:p>
      <w:pPr>
        <w:spacing w:line="360" w:lineRule="auto"/>
        <w:rPr>
          <w:sz w:val="24"/>
        </w:rPr>
      </w:pPr>
      <w:r>
        <w:rPr>
          <w:rFonts w:hint="eastAsia"/>
          <w:sz w:val="24"/>
        </w:rPr>
        <w:t>⑧《中国地震动参数区划图》GB18306-2015</w:t>
      </w:r>
    </w:p>
    <w:p>
      <w:pPr>
        <w:spacing w:line="360" w:lineRule="auto"/>
        <w:rPr>
          <w:sz w:val="24"/>
        </w:rPr>
      </w:pPr>
      <w:r>
        <w:rPr>
          <w:rFonts w:hint="eastAsia"/>
          <w:b/>
          <w:sz w:val="24"/>
        </w:rPr>
        <w:t>1.2.4.2.行业标准</w:t>
      </w:r>
    </w:p>
    <w:p>
      <w:pPr>
        <w:spacing w:line="360" w:lineRule="auto"/>
        <w:rPr>
          <w:sz w:val="24"/>
        </w:rPr>
      </w:pPr>
      <w:r>
        <w:rPr>
          <w:rFonts w:hint="eastAsia"/>
          <w:sz w:val="24"/>
        </w:rPr>
        <w:t>①《高层建筑岩土工程勘察标准》JGJ/72-2017</w:t>
      </w:r>
    </w:p>
    <w:p>
      <w:pPr>
        <w:spacing w:line="360" w:lineRule="auto"/>
        <w:rPr>
          <w:sz w:val="24"/>
        </w:rPr>
      </w:pPr>
      <w:r>
        <w:rPr>
          <w:rFonts w:hint="eastAsia"/>
          <w:sz w:val="24"/>
        </w:rPr>
        <w:t>②《建筑桩基技术规范》JGJ94-2008</w:t>
      </w:r>
    </w:p>
    <w:p>
      <w:pPr>
        <w:spacing w:line="360" w:lineRule="auto"/>
        <w:rPr>
          <w:sz w:val="24"/>
        </w:rPr>
      </w:pPr>
      <w:r>
        <w:rPr>
          <w:rFonts w:hint="eastAsia"/>
          <w:sz w:val="24"/>
        </w:rPr>
        <w:t>③《建筑工程地质勘探与取样技术规程》JGJ/T87-2012</w:t>
      </w:r>
    </w:p>
    <w:p>
      <w:pPr>
        <w:spacing w:line="360" w:lineRule="auto"/>
        <w:rPr>
          <w:sz w:val="24"/>
        </w:rPr>
      </w:pPr>
      <w:r>
        <w:rPr>
          <w:rFonts w:hint="eastAsia"/>
          <w:sz w:val="24"/>
        </w:rPr>
        <w:t>④《建筑基坑支护技术规程》JGJ 120-2012</w:t>
      </w:r>
    </w:p>
    <w:p>
      <w:pPr>
        <w:spacing w:line="360" w:lineRule="auto"/>
        <w:rPr>
          <w:rFonts w:hint="eastAsia"/>
          <w:sz w:val="24"/>
        </w:rPr>
      </w:pPr>
      <w:r>
        <w:rPr>
          <w:rFonts w:hint="eastAsia"/>
          <w:sz w:val="24"/>
        </w:rPr>
        <w:t>⑤《建筑变形测量规范》JGJ8-2016</w:t>
      </w:r>
    </w:p>
    <w:p>
      <w:pPr>
        <w:spacing w:line="360" w:lineRule="auto"/>
        <w:rPr>
          <w:rFonts w:hint="eastAsia"/>
          <w:sz w:val="24"/>
        </w:rPr>
      </w:pPr>
      <w:r>
        <w:rPr>
          <w:rFonts w:hint="eastAsia"/>
          <w:sz w:val="24"/>
        </w:rPr>
        <w:t>⑥《长螺旋钻孔压灌桩技术标准》JGJ/T419-2018</w:t>
      </w:r>
    </w:p>
    <w:p>
      <w:pPr>
        <w:spacing w:line="360" w:lineRule="auto"/>
        <w:rPr>
          <w:sz w:val="24"/>
        </w:rPr>
      </w:pPr>
      <w:r>
        <w:rPr>
          <w:rFonts w:hint="eastAsia"/>
          <w:b/>
          <w:sz w:val="24"/>
        </w:rPr>
        <w:t>1.2.4.3.地方标准</w:t>
      </w:r>
    </w:p>
    <w:p>
      <w:pPr>
        <w:spacing w:line="360" w:lineRule="auto"/>
        <w:rPr>
          <w:sz w:val="24"/>
        </w:rPr>
      </w:pPr>
      <w:r>
        <w:rPr>
          <w:rFonts w:hint="eastAsia"/>
          <w:sz w:val="24"/>
        </w:rPr>
        <w:t>①《岩土工程勘察技术规程》DB22/JT147-2015</w:t>
      </w:r>
    </w:p>
    <w:p>
      <w:pPr>
        <w:spacing w:line="360" w:lineRule="auto"/>
        <w:rPr>
          <w:sz w:val="24"/>
        </w:rPr>
      </w:pPr>
      <w:r>
        <w:rPr>
          <w:rFonts w:hint="eastAsia"/>
          <w:sz w:val="24"/>
        </w:rPr>
        <w:t>②《岩土工程勘察原位测试规程》DB22/T1548-2012</w:t>
      </w:r>
    </w:p>
    <w:p>
      <w:pPr>
        <w:spacing w:line="360" w:lineRule="auto"/>
        <w:rPr>
          <w:sz w:val="24"/>
        </w:rPr>
      </w:pPr>
      <w:r>
        <w:rPr>
          <w:rFonts w:hint="eastAsia"/>
          <w:sz w:val="24"/>
        </w:rPr>
        <w:t>③《建筑工程勘察文件编制标准》DB22/JT 153-2016</w:t>
      </w:r>
    </w:p>
    <w:p>
      <w:pPr>
        <w:spacing w:line="360" w:lineRule="auto"/>
        <w:rPr>
          <w:rFonts w:hint="eastAsia"/>
          <w:sz w:val="24"/>
        </w:rPr>
      </w:pPr>
      <w:r>
        <w:rPr>
          <w:rFonts w:hint="eastAsia"/>
          <w:sz w:val="24"/>
        </w:rPr>
        <w:t>④《静压预应力混凝土管桩基础技术规程》DB22/T497-2010</w:t>
      </w:r>
    </w:p>
    <w:p>
      <w:pPr>
        <w:spacing w:line="360" w:lineRule="auto"/>
        <w:rPr>
          <w:rFonts w:hint="eastAsia"/>
          <w:sz w:val="24"/>
        </w:rPr>
      </w:pPr>
      <w:r>
        <w:rPr>
          <w:rFonts w:hint="eastAsia"/>
          <w:sz w:val="24"/>
          <w:lang w:eastAsia="zh-CN"/>
        </w:rPr>
        <w:t>⑤</w:t>
      </w:r>
      <w:r>
        <w:rPr>
          <w:rFonts w:hint="eastAsia"/>
          <w:sz w:val="24"/>
        </w:rPr>
        <w:t>《长螺旋钻孔压灌混凝土桩基础技术规程》DB22/JT133-2014</w:t>
      </w:r>
    </w:p>
    <w:p>
      <w:pPr>
        <w:spacing w:line="360" w:lineRule="auto"/>
        <w:rPr>
          <w:sz w:val="24"/>
        </w:rPr>
      </w:pPr>
      <w:r>
        <w:rPr>
          <w:rFonts w:hint="eastAsia"/>
          <w:b/>
          <w:sz w:val="24"/>
        </w:rPr>
        <w:t>1.2.4.4.其他</w:t>
      </w:r>
    </w:p>
    <w:p>
      <w:pPr>
        <w:spacing w:line="360" w:lineRule="auto"/>
        <w:rPr>
          <w:sz w:val="24"/>
        </w:rPr>
      </w:pPr>
      <w:r>
        <w:rPr>
          <w:rFonts w:hint="eastAsia"/>
          <w:sz w:val="24"/>
        </w:rPr>
        <w:t>①《房屋建筑和市政基础设施工程勘察文件编制深度规定》（2010年版）</w:t>
      </w:r>
    </w:p>
    <w:p>
      <w:pPr>
        <w:spacing w:line="360" w:lineRule="auto"/>
        <w:rPr>
          <w:sz w:val="24"/>
        </w:rPr>
      </w:pPr>
      <w:r>
        <w:rPr>
          <w:rFonts w:hint="eastAsia"/>
          <w:sz w:val="24"/>
        </w:rPr>
        <w:t>②住房和城乡建设部办公厅建办质[2018]31号文（关于实施《危险性较大的分部分项工程安全管理规定》有关问题的通知）</w:t>
      </w:r>
    </w:p>
    <w:p>
      <w:pPr>
        <w:pStyle w:val="3"/>
        <w:keepNext w:val="0"/>
        <w:keepLines w:val="0"/>
        <w:numPr>
          <w:ilvl w:val="1"/>
          <w:numId w:val="2"/>
        </w:numPr>
        <w:spacing w:before="0" w:after="0" w:line="480" w:lineRule="auto"/>
        <w:ind w:left="0"/>
        <w:jc w:val="left"/>
        <w:rPr>
          <w:rFonts w:ascii="Times New Roman" w:hAnsi="Times New Roman" w:eastAsia="黑体" w:cstheme="majorBidi"/>
          <w:sz w:val="24"/>
        </w:rPr>
      </w:pPr>
      <w:bookmarkStart w:id="11" w:name="_Toc10468506"/>
      <w:r>
        <w:rPr>
          <w:rFonts w:hint="eastAsia" w:ascii="Times New Roman" w:hAnsi="Times New Roman" w:eastAsia="黑体" w:cstheme="majorBidi"/>
          <w:sz w:val="24"/>
        </w:rPr>
        <w:t>岩土工程勘察等级</w:t>
      </w:r>
      <w:bookmarkEnd w:id="11"/>
    </w:p>
    <w:p>
      <w:pPr>
        <w:spacing w:line="360" w:lineRule="auto"/>
        <w:rPr>
          <w:sz w:val="24"/>
        </w:rPr>
      </w:pPr>
      <w:r>
        <w:rPr>
          <w:rFonts w:hint="eastAsia"/>
          <w:b/>
          <w:sz w:val="24"/>
        </w:rPr>
        <w:t>1.3.1.工程重要性等级：</w:t>
      </w:r>
      <w:r>
        <w:rPr>
          <w:rFonts w:hint="eastAsia"/>
          <w:sz w:val="24"/>
        </w:rPr>
        <w:t>根据工程的规模和特征，该项目为</w:t>
      </w:r>
      <w:r>
        <w:rPr>
          <w:rFonts w:hint="eastAsia"/>
          <w:sz w:val="24"/>
          <w:lang w:val="en-US" w:eastAsia="zh-CN"/>
        </w:rPr>
        <w:t>17</w:t>
      </w:r>
      <w:r>
        <w:rPr>
          <w:rFonts w:hint="eastAsia"/>
          <w:sz w:val="24"/>
        </w:rPr>
        <w:t>栋</w:t>
      </w:r>
      <w:r>
        <w:rPr>
          <w:rFonts w:hint="eastAsia"/>
          <w:sz w:val="24"/>
          <w:lang w:val="en-US" w:eastAsia="zh-CN"/>
        </w:rPr>
        <w:t>21</w:t>
      </w:r>
      <w:r>
        <w:rPr>
          <w:rFonts w:hint="eastAsia"/>
          <w:sz w:val="24"/>
        </w:rPr>
        <w:t>-</w:t>
      </w:r>
      <w:r>
        <w:rPr>
          <w:rFonts w:hint="eastAsia"/>
          <w:sz w:val="24"/>
          <w:lang w:val="en-US" w:eastAsia="zh-CN"/>
        </w:rPr>
        <w:t>2</w:t>
      </w:r>
      <w:r>
        <w:rPr>
          <w:rFonts w:hint="eastAsia"/>
          <w:sz w:val="24"/>
        </w:rPr>
        <w:t>8</w:t>
      </w:r>
      <w:r>
        <w:rPr>
          <w:rFonts w:hint="eastAsia"/>
          <w:sz w:val="24"/>
          <w:lang w:val="en-US" w:eastAsia="zh-CN"/>
        </w:rPr>
        <w:t>F</w:t>
      </w:r>
      <w:r>
        <w:rPr>
          <w:rFonts w:hint="eastAsia"/>
          <w:sz w:val="24"/>
        </w:rPr>
        <w:t>高层住宅、满铺1层地下室</w:t>
      </w:r>
      <w:r>
        <w:rPr>
          <w:rFonts w:hint="eastAsia"/>
          <w:sz w:val="24"/>
          <w:lang w:eastAsia="zh-CN"/>
        </w:rPr>
        <w:t>，埋深约</w:t>
      </w:r>
      <w:r>
        <w:rPr>
          <w:rFonts w:hint="eastAsia"/>
          <w:sz w:val="24"/>
          <w:lang w:val="en-US" w:eastAsia="zh-CN"/>
        </w:rPr>
        <w:t>6.0m，12</w:t>
      </w:r>
      <w:r>
        <w:rPr>
          <w:rFonts w:hint="eastAsia"/>
          <w:sz w:val="24"/>
        </w:rPr>
        <w:t>栋1-3层商业</w:t>
      </w:r>
      <w:r>
        <w:rPr>
          <w:rFonts w:hint="eastAsia"/>
          <w:sz w:val="24"/>
          <w:lang w:eastAsia="zh-CN"/>
        </w:rPr>
        <w:t>及配套，无地下室</w:t>
      </w:r>
      <w:r>
        <w:rPr>
          <w:rFonts w:hint="eastAsia"/>
          <w:sz w:val="24"/>
        </w:rPr>
        <w:t>。由于岩土工程问题造成工程破坏或影响正常使用的后果</w:t>
      </w:r>
      <w:r>
        <w:rPr>
          <w:rFonts w:hint="eastAsia"/>
          <w:sz w:val="24"/>
          <w:lang w:eastAsia="zh-CN"/>
        </w:rPr>
        <w:t>很</w:t>
      </w:r>
      <w:r>
        <w:rPr>
          <w:rFonts w:hint="eastAsia"/>
          <w:sz w:val="24"/>
        </w:rPr>
        <w:t>严重，拟建工程的工程重要性等级为</w:t>
      </w:r>
      <w:r>
        <w:rPr>
          <w:rFonts w:hint="eastAsia"/>
          <w:sz w:val="24"/>
          <w:lang w:eastAsia="zh-CN"/>
        </w:rPr>
        <w:t>一</w:t>
      </w:r>
      <w:r>
        <w:rPr>
          <w:rFonts w:hint="eastAsia"/>
          <w:sz w:val="24"/>
        </w:rPr>
        <w:t>级。</w:t>
      </w:r>
    </w:p>
    <w:p>
      <w:pPr>
        <w:spacing w:line="360" w:lineRule="auto"/>
        <w:rPr>
          <w:sz w:val="24"/>
        </w:rPr>
      </w:pPr>
      <w:r>
        <w:rPr>
          <w:rFonts w:hint="eastAsia"/>
          <w:b/>
          <w:sz w:val="24"/>
        </w:rPr>
        <w:t>1.3.2.场地等级：</w:t>
      </w:r>
      <w:r>
        <w:rPr>
          <w:rFonts w:hint="eastAsia"/>
          <w:sz w:val="24"/>
        </w:rPr>
        <w:t>根据规范规定，拟建场地抗震设防烈度为7度。拟建场地平坦、开阔，无软弱土、液化土、崩塌、滑坡等不良地质作用，因此，拟建场地为建筑抗震一般地段，地质环境已经受到一定破坏。因此，拟建场地为中等复杂场地，场地等级为二级。</w:t>
      </w:r>
    </w:p>
    <w:p>
      <w:pPr>
        <w:spacing w:line="360" w:lineRule="auto"/>
        <w:rPr>
          <w:sz w:val="24"/>
        </w:rPr>
      </w:pPr>
      <w:r>
        <w:rPr>
          <w:rFonts w:hint="eastAsia"/>
          <w:b/>
          <w:sz w:val="24"/>
        </w:rPr>
        <w:t>1.3.3.地基等级：</w:t>
      </w:r>
      <w:r>
        <w:rPr>
          <w:rFonts w:hint="eastAsia"/>
          <w:sz w:val="24"/>
        </w:rPr>
        <w:t>拟建场地持力层岩土种类主要为砂土及风化岩，岩土种类较多，性质变化较大，</w:t>
      </w:r>
      <w:r>
        <w:rPr>
          <w:rFonts w:hint="eastAsia"/>
          <w:sz w:val="24"/>
          <w:lang w:eastAsia="zh-CN"/>
        </w:rPr>
        <w:t>杂</w:t>
      </w:r>
      <w:r>
        <w:rPr>
          <w:rFonts w:hint="eastAsia"/>
          <w:sz w:val="24"/>
        </w:rPr>
        <w:t>填土及风化泥岩岩层属特殊性岩土，地基等级为二级。</w:t>
      </w:r>
    </w:p>
    <w:p>
      <w:pPr>
        <w:spacing w:line="360" w:lineRule="auto"/>
        <w:rPr>
          <w:b/>
          <w:sz w:val="24"/>
        </w:rPr>
      </w:pPr>
      <w:r>
        <w:rPr>
          <w:rFonts w:hint="eastAsia"/>
          <w:b/>
          <w:sz w:val="24"/>
        </w:rPr>
        <w:t>综上：本项目的岩土工程勘察等级为</w:t>
      </w:r>
      <w:r>
        <w:rPr>
          <w:rFonts w:hint="eastAsia"/>
          <w:b/>
          <w:sz w:val="24"/>
          <w:lang w:eastAsia="zh-CN"/>
        </w:rPr>
        <w:t>甲</w:t>
      </w:r>
      <w:r>
        <w:rPr>
          <w:rFonts w:hint="eastAsia"/>
          <w:b/>
          <w:sz w:val="24"/>
        </w:rPr>
        <w:t>级。</w:t>
      </w:r>
    </w:p>
    <w:p>
      <w:pPr>
        <w:pStyle w:val="3"/>
        <w:keepNext w:val="0"/>
        <w:keepLines w:val="0"/>
        <w:numPr>
          <w:ilvl w:val="1"/>
          <w:numId w:val="2"/>
        </w:numPr>
        <w:spacing w:before="0" w:after="0" w:line="480" w:lineRule="auto"/>
        <w:ind w:left="0"/>
        <w:jc w:val="left"/>
        <w:rPr>
          <w:color w:val="000000"/>
        </w:rPr>
      </w:pPr>
      <w:bookmarkStart w:id="12" w:name="_Toc10468507"/>
      <w:r>
        <w:rPr>
          <w:rFonts w:hint="eastAsia" w:ascii="Times New Roman" w:hAnsi="Times New Roman" w:eastAsia="黑体" w:cstheme="majorBidi"/>
          <w:sz w:val="28"/>
        </w:rPr>
        <w:t>岩土工程勘察方法、勘察工作布置及其完成情况</w:t>
      </w:r>
      <w:bookmarkEnd w:id="12"/>
    </w:p>
    <w:p>
      <w:pPr>
        <w:spacing w:line="360" w:lineRule="auto"/>
        <w:rPr>
          <w:b/>
          <w:sz w:val="24"/>
        </w:rPr>
      </w:pPr>
      <w:r>
        <w:rPr>
          <w:rFonts w:hint="eastAsia"/>
          <w:b/>
          <w:sz w:val="24"/>
        </w:rPr>
        <w:t>1.4.1.</w:t>
      </w:r>
      <w:r>
        <w:rPr>
          <w:b/>
          <w:sz w:val="24"/>
        </w:rPr>
        <w:t>勘察工作量</w:t>
      </w:r>
    </w:p>
    <w:p>
      <w:pPr>
        <w:spacing w:line="360" w:lineRule="auto"/>
        <w:rPr>
          <w:b/>
          <w:sz w:val="24"/>
        </w:rPr>
      </w:pPr>
      <w:r>
        <w:rPr>
          <w:b/>
          <w:sz w:val="24"/>
        </w:rPr>
        <w:t>1.</w:t>
      </w:r>
      <w:r>
        <w:rPr>
          <w:rFonts w:hint="eastAsia"/>
          <w:b/>
          <w:sz w:val="24"/>
        </w:rPr>
        <w:t>4</w:t>
      </w:r>
      <w:r>
        <w:rPr>
          <w:b/>
          <w:sz w:val="24"/>
        </w:rPr>
        <w:t>.1.1</w:t>
      </w:r>
      <w:r>
        <w:rPr>
          <w:rFonts w:hint="eastAsia"/>
          <w:b/>
          <w:sz w:val="24"/>
        </w:rPr>
        <w:t>.</w:t>
      </w:r>
      <w:r>
        <w:rPr>
          <w:b/>
          <w:sz w:val="24"/>
        </w:rPr>
        <w:t>勘探点的布置</w:t>
      </w:r>
    </w:p>
    <w:p>
      <w:pPr>
        <w:spacing w:line="360" w:lineRule="auto"/>
        <w:ind w:firstLine="480" w:firstLineChars="200"/>
        <w:rPr>
          <w:sz w:val="24"/>
        </w:rPr>
      </w:pPr>
      <w:r>
        <w:rPr>
          <w:rFonts w:hint="eastAsia"/>
          <w:sz w:val="24"/>
        </w:rPr>
        <w:t>本次勘察为详细勘察阶段，</w:t>
      </w:r>
      <w:r>
        <w:rPr>
          <w:sz w:val="24"/>
        </w:rPr>
        <w:t>依据建筑规划图及设计要求</w:t>
      </w:r>
      <w:r>
        <w:rPr>
          <w:rFonts w:hint="eastAsia"/>
          <w:sz w:val="24"/>
        </w:rPr>
        <w:t>并</w:t>
      </w:r>
      <w:r>
        <w:rPr>
          <w:sz w:val="24"/>
        </w:rPr>
        <w:t>结合场地条件及建筑物的平面形状、荷载分布、结构特点等，遵照《岩土工程勘察规范》GB50021-2001（2009年版）详细勘察阶段第4.1.14～4.1.20条布孔要求</w:t>
      </w:r>
      <w:r>
        <w:rPr>
          <w:rFonts w:hint="eastAsia"/>
          <w:sz w:val="24"/>
        </w:rPr>
        <w:t>，同时满足4.9.1~4.9.4条的规定，勘探点</w:t>
      </w:r>
      <w:r>
        <w:rPr>
          <w:sz w:val="24"/>
        </w:rPr>
        <w:t>按</w:t>
      </w:r>
      <w:r>
        <w:rPr>
          <w:rFonts w:hint="eastAsia"/>
          <w:sz w:val="24"/>
        </w:rPr>
        <w:t>照建筑边线、</w:t>
      </w:r>
      <w:r>
        <w:rPr>
          <w:sz w:val="24"/>
        </w:rPr>
        <w:t>角点</w:t>
      </w:r>
      <w:r>
        <w:rPr>
          <w:rFonts w:hint="eastAsia"/>
          <w:sz w:val="24"/>
        </w:rPr>
        <w:t>及分布范围</w:t>
      </w:r>
      <w:r>
        <w:rPr>
          <w:sz w:val="24"/>
        </w:rPr>
        <w:t>布置，</w:t>
      </w:r>
      <w:r>
        <w:rPr>
          <w:b/>
          <w:bCs/>
          <w:sz w:val="24"/>
        </w:rPr>
        <w:t>因勘察后规划图有所调整，故造成部分勘探孔偏离建筑物的边线及角点或布置不合理的现象</w:t>
      </w:r>
      <w:r>
        <w:rPr>
          <w:sz w:val="24"/>
        </w:rPr>
        <w:t>，根据规范要求及场地的工程地质条件，现有勘探点满足设计要求，但若施工时发现异常，建议进行补充勘察。本次勘察共布置了</w:t>
      </w:r>
      <w:r>
        <w:rPr>
          <w:rFonts w:hint="eastAsia"/>
          <w:sz w:val="24"/>
        </w:rPr>
        <w:t>勘探点</w:t>
      </w:r>
      <w:r>
        <w:rPr>
          <w:rFonts w:hint="eastAsia"/>
          <w:sz w:val="24"/>
          <w:lang w:val="en-US" w:eastAsia="zh-CN"/>
        </w:rPr>
        <w:t>374</w:t>
      </w:r>
      <w:r>
        <w:rPr>
          <w:rFonts w:hint="eastAsia"/>
          <w:sz w:val="24"/>
        </w:rPr>
        <w:t>个，其中钻探取土标贯孔</w:t>
      </w:r>
      <w:r>
        <w:rPr>
          <w:rFonts w:hint="eastAsia"/>
          <w:sz w:val="24"/>
          <w:lang w:val="en-US" w:eastAsia="zh-CN"/>
        </w:rPr>
        <w:t>374</w:t>
      </w:r>
      <w:r>
        <w:rPr>
          <w:rFonts w:hint="eastAsia"/>
          <w:sz w:val="24"/>
        </w:rPr>
        <w:t>个</w:t>
      </w:r>
      <w:r>
        <w:rPr>
          <w:rFonts w:hint="eastAsia"/>
          <w:sz w:val="24"/>
          <w:lang w:eastAsia="zh-CN"/>
        </w:rPr>
        <w:t>。</w:t>
      </w:r>
      <w:r>
        <w:rPr>
          <w:sz w:val="24"/>
        </w:rPr>
        <w:t>控制性勘探孔</w:t>
      </w:r>
      <w:r>
        <w:rPr>
          <w:rFonts w:hint="eastAsia"/>
          <w:sz w:val="24"/>
          <w:lang w:val="en-US" w:eastAsia="zh-CN"/>
        </w:rPr>
        <w:t>150</w:t>
      </w:r>
      <w:r>
        <w:rPr>
          <w:rFonts w:hint="eastAsia"/>
          <w:sz w:val="24"/>
        </w:rPr>
        <w:t>个</w:t>
      </w:r>
      <w:r>
        <w:rPr>
          <w:rFonts w:hint="eastAsia"/>
          <w:sz w:val="24"/>
          <w:lang w:eastAsia="zh-CN"/>
        </w:rPr>
        <w:t>，</w:t>
      </w:r>
      <w:r>
        <w:rPr>
          <w:rFonts w:hint="eastAsia"/>
          <w:sz w:val="24"/>
        </w:rPr>
        <w:t>一般性钻孔</w:t>
      </w:r>
      <w:r>
        <w:rPr>
          <w:rFonts w:hint="eastAsia"/>
          <w:sz w:val="24"/>
          <w:lang w:val="en-US" w:eastAsia="zh-CN"/>
        </w:rPr>
        <w:t>224</w:t>
      </w:r>
      <w:r>
        <w:rPr>
          <w:rFonts w:hint="eastAsia"/>
          <w:sz w:val="24"/>
        </w:rPr>
        <w:t>个。勘探点布置详见“</w:t>
      </w:r>
      <w:r>
        <w:rPr>
          <w:sz w:val="24"/>
        </w:rPr>
        <w:t>建筑物</w:t>
      </w:r>
      <w:r>
        <w:rPr>
          <w:rFonts w:hint="eastAsia"/>
          <w:sz w:val="24"/>
        </w:rPr>
        <w:t>与</w:t>
      </w:r>
      <w:r>
        <w:rPr>
          <w:sz w:val="24"/>
        </w:rPr>
        <w:t>勘探点平面位置图</w:t>
      </w:r>
      <w:r>
        <w:rPr>
          <w:rFonts w:hint="eastAsia"/>
          <w:sz w:val="24"/>
        </w:rPr>
        <w:t>”。</w:t>
      </w:r>
    </w:p>
    <w:p>
      <w:pPr>
        <w:spacing w:line="360" w:lineRule="auto"/>
        <w:rPr>
          <w:b/>
          <w:sz w:val="24"/>
        </w:rPr>
      </w:pPr>
      <w:r>
        <w:rPr>
          <w:b/>
          <w:sz w:val="24"/>
        </w:rPr>
        <w:t>1.</w:t>
      </w:r>
      <w:r>
        <w:rPr>
          <w:rFonts w:hint="eastAsia"/>
          <w:b/>
          <w:sz w:val="24"/>
        </w:rPr>
        <w:t>4</w:t>
      </w:r>
      <w:r>
        <w:rPr>
          <w:b/>
          <w:sz w:val="24"/>
        </w:rPr>
        <w:t>.1.2</w:t>
      </w:r>
      <w:r>
        <w:rPr>
          <w:rFonts w:hint="eastAsia"/>
          <w:b/>
          <w:sz w:val="24"/>
        </w:rPr>
        <w:t>.</w:t>
      </w:r>
      <w:r>
        <w:rPr>
          <w:b/>
          <w:sz w:val="24"/>
        </w:rPr>
        <w:t>勘探孔深度</w:t>
      </w:r>
    </w:p>
    <w:p>
      <w:pPr>
        <w:pStyle w:val="56"/>
        <w:spacing w:line="480" w:lineRule="exact"/>
        <w:ind w:firstLine="480"/>
        <w:rPr>
          <w:rFonts w:ascii="Times New Roman" w:hAnsi="Times New Roman" w:cs="Times New Roman"/>
          <w:sz w:val="24"/>
          <w:szCs w:val="24"/>
          <w:lang w:val="en-US"/>
        </w:rPr>
      </w:pPr>
      <w:r>
        <w:rPr>
          <w:rFonts w:ascii="Times New Roman" w:hAnsi="Times New Roman" w:cs="Times New Roman"/>
          <w:sz w:val="24"/>
          <w:szCs w:val="24"/>
          <w:lang w:val="en-US"/>
        </w:rPr>
        <w:t>依据场地地质条件及建筑物的功能、结构型式、荷载，拟采用的基础型式，依据规范规定确定勘探深度。拟建场地拟采用</w:t>
      </w:r>
      <w:r>
        <w:rPr>
          <w:rFonts w:hint="eastAsia" w:ascii="Times New Roman" w:hAnsi="Times New Roman" w:cs="Times New Roman"/>
          <w:sz w:val="24"/>
          <w:szCs w:val="24"/>
          <w:lang w:val="en-US"/>
        </w:rPr>
        <w:t>多种</w:t>
      </w:r>
      <w:r>
        <w:rPr>
          <w:rFonts w:ascii="Times New Roman" w:hAnsi="Times New Roman" w:cs="Times New Roman"/>
          <w:sz w:val="24"/>
          <w:szCs w:val="24"/>
          <w:lang w:val="en-US"/>
        </w:rPr>
        <w:t>基础</w:t>
      </w:r>
      <w:r>
        <w:rPr>
          <w:rFonts w:hint="eastAsia" w:ascii="Times New Roman" w:hAnsi="Times New Roman" w:cs="Times New Roman"/>
          <w:sz w:val="24"/>
          <w:szCs w:val="24"/>
          <w:lang w:val="en-US"/>
        </w:rPr>
        <w:t>形式</w:t>
      </w:r>
      <w:r>
        <w:rPr>
          <w:rFonts w:ascii="Times New Roman" w:hAnsi="Times New Roman" w:cs="Times New Roman"/>
          <w:sz w:val="24"/>
          <w:szCs w:val="24"/>
          <w:lang w:val="en-US"/>
        </w:rPr>
        <w:t>，</w:t>
      </w:r>
      <w:r>
        <w:rPr>
          <w:rFonts w:hint="eastAsia" w:ascii="Times New Roman" w:hAnsi="Times New Roman" w:cs="Times New Roman"/>
          <w:sz w:val="24"/>
          <w:szCs w:val="24"/>
          <w:lang w:val="en-US"/>
        </w:rPr>
        <w:t>本次勘察勘探孔深度按桩基础控制。此</w:t>
      </w:r>
      <w:r>
        <w:rPr>
          <w:rFonts w:hint="eastAsia" w:ascii="Times New Roman" w:hAnsi="Times New Roman" w:cs="Times New Roman"/>
          <w:sz w:val="24"/>
          <w:szCs w:val="24"/>
          <w:lang w:val="en-US" w:eastAsia="zh-CN"/>
        </w:rPr>
        <w:t>场地满铺</w:t>
      </w:r>
      <w:r>
        <w:rPr>
          <w:rFonts w:hint="eastAsia" w:ascii="Times New Roman" w:hAnsi="Times New Roman" w:cs="Times New Roman"/>
          <w:sz w:val="24"/>
          <w:szCs w:val="24"/>
          <w:lang w:val="en-US"/>
        </w:rPr>
        <w:t>有1层地下室，埋深约</w:t>
      </w:r>
      <w:r>
        <w:rPr>
          <w:rFonts w:hint="eastAsia" w:ascii="Times New Roman" w:hAnsi="Times New Roman" w:cs="Times New Roman"/>
          <w:sz w:val="24"/>
          <w:szCs w:val="24"/>
          <w:lang w:val="en-US" w:eastAsia="zh-CN"/>
        </w:rPr>
        <w:t>6.00</w:t>
      </w:r>
      <w:r>
        <w:rPr>
          <w:rFonts w:hint="eastAsia" w:ascii="Times New Roman" w:hAnsi="Times New Roman" w:cs="Times New Roman"/>
          <w:sz w:val="24"/>
          <w:szCs w:val="24"/>
          <w:lang w:val="en-US"/>
        </w:rPr>
        <w:t>m</w:t>
      </w:r>
      <w:r>
        <w:rPr>
          <w:rFonts w:hint="eastAsia" w:ascii="Times New Roman" w:hAnsi="Times New Roman" w:cs="Times New Roman"/>
          <w:sz w:val="24"/>
          <w:szCs w:val="24"/>
          <w:lang w:val="en-US" w:eastAsia="zh-CN"/>
        </w:rPr>
        <w:t>。</w:t>
      </w:r>
      <w:r>
        <w:rPr>
          <w:rFonts w:hint="eastAsia" w:ascii="Times New Roman" w:hAnsi="Times New Roman" w:cs="Times New Roman"/>
          <w:sz w:val="24"/>
          <w:szCs w:val="24"/>
          <w:lang w:val="en-US"/>
        </w:rPr>
        <w:t>依据规范规定，一般性勘探孔孔深不小于桩端下3.0m，孔深约</w:t>
      </w:r>
      <w:r>
        <w:rPr>
          <w:rFonts w:hint="eastAsia" w:ascii="Times New Roman" w:hAnsi="Times New Roman" w:cs="Times New Roman"/>
          <w:sz w:val="24"/>
          <w:szCs w:val="24"/>
          <w:lang w:val="en-US" w:eastAsia="zh-CN"/>
        </w:rPr>
        <w:t>12</w:t>
      </w:r>
      <w:r>
        <w:rPr>
          <w:rFonts w:hint="eastAsia" w:ascii="Times New Roman" w:hAnsi="Times New Roman" w:cs="Times New Roman"/>
          <w:sz w:val="24"/>
          <w:szCs w:val="24"/>
          <w:lang w:val="en-US"/>
        </w:rPr>
        <w:t>.0~2</w:t>
      </w:r>
      <w:r>
        <w:rPr>
          <w:rFonts w:hint="eastAsia" w:ascii="Times New Roman" w:hAnsi="Times New Roman" w:cs="Times New Roman"/>
          <w:sz w:val="24"/>
          <w:szCs w:val="24"/>
          <w:lang w:val="en-US" w:eastAsia="zh-CN"/>
        </w:rPr>
        <w:t>1.0</w:t>
      </w:r>
      <w:r>
        <w:rPr>
          <w:rFonts w:hint="eastAsia" w:ascii="Times New Roman" w:hAnsi="Times New Roman" w:cs="Times New Roman"/>
          <w:sz w:val="24"/>
          <w:szCs w:val="24"/>
          <w:lang w:val="en-US"/>
        </w:rPr>
        <w:t>m，控制性勘探孔达到设计桩端平面以下不小于5.0m，孔深约2</w:t>
      </w:r>
      <w:r>
        <w:rPr>
          <w:rFonts w:hint="eastAsia" w:ascii="Times New Roman" w:hAnsi="Times New Roman" w:cs="Times New Roman"/>
          <w:sz w:val="24"/>
          <w:szCs w:val="24"/>
          <w:lang w:val="en-US" w:eastAsia="zh-CN"/>
        </w:rPr>
        <w:t>2</w:t>
      </w:r>
      <w:r>
        <w:rPr>
          <w:rFonts w:hint="eastAsia" w:ascii="Times New Roman" w:hAnsi="Times New Roman" w:cs="Times New Roman"/>
          <w:sz w:val="24"/>
          <w:szCs w:val="24"/>
          <w:lang w:val="en-US"/>
        </w:rPr>
        <w:t>.0~</w:t>
      </w:r>
      <w:r>
        <w:rPr>
          <w:rFonts w:hint="eastAsia" w:ascii="Times New Roman" w:hAnsi="Times New Roman" w:cs="Times New Roman"/>
          <w:sz w:val="24"/>
          <w:szCs w:val="24"/>
          <w:lang w:val="en-US" w:eastAsia="zh-CN"/>
        </w:rPr>
        <w:t>26</w:t>
      </w:r>
      <w:r>
        <w:rPr>
          <w:rFonts w:hint="eastAsia" w:ascii="Times New Roman" w:hAnsi="Times New Roman" w:cs="Times New Roman"/>
          <w:sz w:val="24"/>
          <w:szCs w:val="24"/>
          <w:lang w:val="en-US"/>
        </w:rPr>
        <w:t>.0m。</w:t>
      </w:r>
    </w:p>
    <w:p>
      <w:pPr>
        <w:spacing w:line="360" w:lineRule="auto"/>
        <w:rPr>
          <w:b/>
          <w:sz w:val="24"/>
        </w:rPr>
      </w:pPr>
      <w:r>
        <w:rPr>
          <w:b/>
          <w:sz w:val="24"/>
        </w:rPr>
        <w:t>1.</w:t>
      </w:r>
      <w:r>
        <w:rPr>
          <w:rFonts w:hint="eastAsia"/>
          <w:b/>
          <w:sz w:val="24"/>
        </w:rPr>
        <w:t>4</w:t>
      </w:r>
      <w:r>
        <w:rPr>
          <w:b/>
          <w:sz w:val="24"/>
        </w:rPr>
        <w:t>.1.</w:t>
      </w:r>
      <w:r>
        <w:rPr>
          <w:rFonts w:hint="eastAsia"/>
          <w:b/>
          <w:sz w:val="24"/>
        </w:rPr>
        <w:t>3.勘察进程</w:t>
      </w:r>
    </w:p>
    <w:p>
      <w:pPr>
        <w:pStyle w:val="56"/>
        <w:spacing w:line="480" w:lineRule="exact"/>
        <w:ind w:firstLine="480"/>
        <w:rPr>
          <w:rFonts w:ascii="Times New Roman" w:hAnsi="Times New Roman" w:cs="Times New Roman"/>
          <w:sz w:val="24"/>
          <w:szCs w:val="24"/>
          <w:lang w:val="en-US"/>
        </w:rPr>
      </w:pPr>
      <w:r>
        <w:rPr>
          <w:rFonts w:hint="eastAsia" w:ascii="Times New Roman" w:hAnsi="Times New Roman" w:cs="Times New Roman"/>
          <w:sz w:val="24"/>
          <w:szCs w:val="24"/>
          <w:lang w:val="en-US"/>
        </w:rPr>
        <w:t>2020年0</w:t>
      </w:r>
      <w:r>
        <w:rPr>
          <w:rFonts w:hint="eastAsia" w:ascii="Times New Roman" w:hAnsi="Times New Roman" w:cs="Times New Roman"/>
          <w:sz w:val="24"/>
          <w:szCs w:val="24"/>
          <w:lang w:val="en-US" w:eastAsia="zh-CN"/>
        </w:rPr>
        <w:t>4</w:t>
      </w:r>
      <w:r>
        <w:rPr>
          <w:rFonts w:hint="eastAsia" w:ascii="Times New Roman" w:hAnsi="Times New Roman" w:cs="Times New Roman"/>
          <w:sz w:val="24"/>
          <w:szCs w:val="24"/>
          <w:lang w:val="en-US"/>
        </w:rPr>
        <w:t>月1</w:t>
      </w:r>
      <w:r>
        <w:rPr>
          <w:rFonts w:hint="eastAsia" w:ascii="Times New Roman" w:hAnsi="Times New Roman" w:cs="Times New Roman"/>
          <w:sz w:val="24"/>
          <w:szCs w:val="24"/>
          <w:lang w:val="en-US" w:eastAsia="zh-CN"/>
        </w:rPr>
        <w:t>4</w:t>
      </w:r>
      <w:r>
        <w:rPr>
          <w:rFonts w:hint="eastAsia" w:ascii="Times New Roman" w:hAnsi="Times New Roman" w:cs="Times New Roman"/>
          <w:sz w:val="24"/>
          <w:szCs w:val="24"/>
          <w:lang w:val="en-US"/>
        </w:rPr>
        <w:t>日</w:t>
      </w:r>
      <w:r>
        <w:rPr>
          <w:rFonts w:hint="eastAsia" w:ascii="Times New Roman" w:hAnsi="Times New Roman" w:cs="Times New Roman"/>
          <w:sz w:val="24"/>
          <w:szCs w:val="24"/>
          <w:lang w:val="en-US" w:eastAsia="zh-CN"/>
        </w:rPr>
        <w:t>-16日</w:t>
      </w:r>
      <w:r>
        <w:rPr>
          <w:rFonts w:hint="eastAsia" w:ascii="Times New Roman" w:hAnsi="Times New Roman" w:cs="Times New Roman"/>
          <w:sz w:val="24"/>
          <w:szCs w:val="24"/>
          <w:lang w:val="en-US"/>
        </w:rPr>
        <w:t>进行现场勘探点定位。</w:t>
      </w:r>
    </w:p>
    <w:p>
      <w:pPr>
        <w:pStyle w:val="56"/>
        <w:spacing w:line="480" w:lineRule="exact"/>
        <w:ind w:firstLine="480"/>
        <w:rPr>
          <w:rFonts w:ascii="Times New Roman" w:hAnsi="Times New Roman" w:cs="Times New Roman"/>
          <w:sz w:val="24"/>
          <w:szCs w:val="24"/>
          <w:lang w:val="en-US"/>
        </w:rPr>
      </w:pPr>
      <w:r>
        <w:rPr>
          <w:rFonts w:hint="eastAsia" w:ascii="Times New Roman" w:hAnsi="Times New Roman" w:cs="Times New Roman"/>
          <w:sz w:val="24"/>
          <w:szCs w:val="24"/>
          <w:lang w:val="en-US"/>
        </w:rPr>
        <w:t>2020年0</w:t>
      </w:r>
      <w:r>
        <w:rPr>
          <w:rFonts w:hint="eastAsia" w:ascii="Times New Roman" w:hAnsi="Times New Roman" w:cs="Times New Roman"/>
          <w:sz w:val="24"/>
          <w:szCs w:val="24"/>
          <w:lang w:val="en-US" w:eastAsia="zh-CN"/>
        </w:rPr>
        <w:t>4</w:t>
      </w:r>
      <w:r>
        <w:rPr>
          <w:rFonts w:hint="eastAsia" w:ascii="Times New Roman" w:hAnsi="Times New Roman" w:cs="Times New Roman"/>
          <w:sz w:val="24"/>
          <w:szCs w:val="24"/>
          <w:lang w:val="en-US"/>
        </w:rPr>
        <w:t>月1</w:t>
      </w:r>
      <w:r>
        <w:rPr>
          <w:rFonts w:hint="eastAsia" w:ascii="Times New Roman" w:hAnsi="Times New Roman" w:cs="Times New Roman"/>
          <w:sz w:val="24"/>
          <w:szCs w:val="24"/>
          <w:lang w:val="en-US" w:eastAsia="zh-CN"/>
        </w:rPr>
        <w:t>4</w:t>
      </w:r>
      <w:r>
        <w:rPr>
          <w:rFonts w:hint="eastAsia" w:ascii="Times New Roman" w:hAnsi="Times New Roman" w:cs="Times New Roman"/>
          <w:sz w:val="24"/>
          <w:szCs w:val="24"/>
          <w:lang w:val="en-US"/>
        </w:rPr>
        <w:t>日至2020年0</w:t>
      </w:r>
      <w:r>
        <w:rPr>
          <w:rFonts w:hint="eastAsia" w:ascii="Times New Roman" w:hAnsi="Times New Roman" w:cs="Times New Roman"/>
          <w:sz w:val="24"/>
          <w:szCs w:val="24"/>
          <w:lang w:val="en-US" w:eastAsia="zh-CN"/>
        </w:rPr>
        <w:t>4</w:t>
      </w:r>
      <w:r>
        <w:rPr>
          <w:rFonts w:hint="eastAsia" w:ascii="Times New Roman" w:hAnsi="Times New Roman" w:cs="Times New Roman"/>
          <w:sz w:val="24"/>
          <w:szCs w:val="24"/>
          <w:lang w:val="en-US"/>
        </w:rPr>
        <w:t>月</w:t>
      </w:r>
      <w:r>
        <w:rPr>
          <w:rFonts w:hint="eastAsia" w:ascii="Times New Roman" w:hAnsi="Times New Roman" w:cs="Times New Roman"/>
          <w:sz w:val="24"/>
          <w:szCs w:val="24"/>
          <w:lang w:val="en-US" w:eastAsia="zh-CN"/>
        </w:rPr>
        <w:t>22</w:t>
      </w:r>
      <w:r>
        <w:rPr>
          <w:rFonts w:hint="eastAsia" w:ascii="Times New Roman" w:hAnsi="Times New Roman" w:cs="Times New Roman"/>
          <w:sz w:val="24"/>
          <w:szCs w:val="24"/>
          <w:lang w:val="en-US"/>
        </w:rPr>
        <w:t>日进行现场工程地质钻探、原位测试等工作，并对钻孔进行了回填。</w:t>
      </w:r>
    </w:p>
    <w:p>
      <w:pPr>
        <w:pStyle w:val="56"/>
        <w:spacing w:line="480" w:lineRule="exact"/>
        <w:ind w:firstLine="480"/>
        <w:rPr>
          <w:rFonts w:ascii="Times New Roman" w:hAnsi="Times New Roman" w:cs="Times New Roman"/>
          <w:sz w:val="24"/>
          <w:szCs w:val="24"/>
          <w:lang w:val="en-US"/>
        </w:rPr>
      </w:pPr>
      <w:r>
        <w:rPr>
          <w:rFonts w:hint="eastAsia" w:ascii="Times New Roman" w:hAnsi="Times New Roman" w:cs="Times New Roman"/>
          <w:sz w:val="24"/>
          <w:szCs w:val="24"/>
          <w:lang w:val="en-US"/>
        </w:rPr>
        <w:t>2020年0</w:t>
      </w:r>
      <w:r>
        <w:rPr>
          <w:rFonts w:hint="eastAsia" w:ascii="Times New Roman" w:hAnsi="Times New Roman" w:cs="Times New Roman"/>
          <w:sz w:val="24"/>
          <w:szCs w:val="24"/>
          <w:lang w:val="en-US" w:eastAsia="zh-CN"/>
        </w:rPr>
        <w:t>4</w:t>
      </w:r>
      <w:r>
        <w:rPr>
          <w:rFonts w:hint="eastAsia" w:ascii="Times New Roman" w:hAnsi="Times New Roman" w:cs="Times New Roman"/>
          <w:sz w:val="24"/>
          <w:szCs w:val="24"/>
          <w:lang w:val="en-US"/>
        </w:rPr>
        <w:t>月</w:t>
      </w:r>
      <w:r>
        <w:rPr>
          <w:rFonts w:hint="eastAsia" w:ascii="Times New Roman" w:hAnsi="Times New Roman" w:cs="Times New Roman"/>
          <w:sz w:val="24"/>
          <w:szCs w:val="24"/>
          <w:lang w:val="en-US" w:eastAsia="zh-CN"/>
        </w:rPr>
        <w:t>15</w:t>
      </w:r>
      <w:r>
        <w:rPr>
          <w:rFonts w:hint="eastAsia" w:ascii="Times New Roman" w:hAnsi="Times New Roman" w:cs="Times New Roman"/>
          <w:sz w:val="24"/>
          <w:szCs w:val="24"/>
          <w:lang w:val="en-US"/>
        </w:rPr>
        <w:t>日开始进行室内土工试验，2020年0</w:t>
      </w:r>
      <w:r>
        <w:rPr>
          <w:rFonts w:hint="eastAsia" w:ascii="Times New Roman" w:hAnsi="Times New Roman" w:cs="Times New Roman"/>
          <w:sz w:val="24"/>
          <w:szCs w:val="24"/>
          <w:lang w:val="en-US" w:eastAsia="zh-CN"/>
        </w:rPr>
        <w:t>4</w:t>
      </w:r>
      <w:r>
        <w:rPr>
          <w:rFonts w:hint="eastAsia" w:ascii="Times New Roman" w:hAnsi="Times New Roman" w:cs="Times New Roman"/>
          <w:sz w:val="24"/>
          <w:szCs w:val="24"/>
          <w:lang w:val="en-US"/>
        </w:rPr>
        <w:t>月</w:t>
      </w:r>
      <w:r>
        <w:rPr>
          <w:rFonts w:hint="eastAsia" w:ascii="Times New Roman" w:hAnsi="Times New Roman" w:cs="Times New Roman"/>
          <w:sz w:val="24"/>
          <w:szCs w:val="24"/>
          <w:lang w:val="en-US" w:eastAsia="zh-CN"/>
        </w:rPr>
        <w:t>23</w:t>
      </w:r>
      <w:r>
        <w:rPr>
          <w:rFonts w:hint="eastAsia" w:ascii="Times New Roman" w:hAnsi="Times New Roman" w:cs="Times New Roman"/>
          <w:sz w:val="24"/>
          <w:szCs w:val="24"/>
          <w:lang w:val="en-US"/>
        </w:rPr>
        <w:t>日完成了室内试验分析、成果输出、校审工作。</w:t>
      </w:r>
    </w:p>
    <w:p>
      <w:pPr>
        <w:pStyle w:val="56"/>
        <w:spacing w:line="480" w:lineRule="exact"/>
        <w:ind w:firstLine="480"/>
      </w:pPr>
      <w:r>
        <w:rPr>
          <w:rFonts w:ascii="Times New Roman" w:hAnsi="Times New Roman" w:cs="Times New Roman"/>
          <w:sz w:val="24"/>
          <w:szCs w:val="24"/>
          <w:lang w:val="en-US"/>
        </w:rPr>
        <w:t>20</w:t>
      </w:r>
      <w:r>
        <w:rPr>
          <w:rFonts w:hint="eastAsia" w:ascii="Times New Roman" w:hAnsi="Times New Roman" w:cs="Times New Roman"/>
          <w:sz w:val="24"/>
          <w:szCs w:val="24"/>
          <w:lang w:val="en-US"/>
        </w:rPr>
        <w:t>20年0</w:t>
      </w:r>
      <w:r>
        <w:rPr>
          <w:rFonts w:hint="eastAsia" w:ascii="Times New Roman" w:hAnsi="Times New Roman" w:cs="Times New Roman"/>
          <w:sz w:val="24"/>
          <w:szCs w:val="24"/>
          <w:lang w:val="en-US" w:eastAsia="zh-CN"/>
        </w:rPr>
        <w:t>4</w:t>
      </w:r>
      <w:r>
        <w:rPr>
          <w:rFonts w:hint="eastAsia" w:ascii="Times New Roman" w:hAnsi="Times New Roman" w:cs="Times New Roman"/>
          <w:sz w:val="24"/>
          <w:szCs w:val="24"/>
          <w:lang w:val="en-US"/>
        </w:rPr>
        <w:t>月</w:t>
      </w:r>
      <w:r>
        <w:rPr>
          <w:rFonts w:hint="eastAsia" w:ascii="Times New Roman" w:hAnsi="Times New Roman" w:cs="Times New Roman"/>
          <w:sz w:val="24"/>
          <w:szCs w:val="24"/>
          <w:lang w:val="en-US" w:eastAsia="zh-CN"/>
        </w:rPr>
        <w:t>22</w:t>
      </w:r>
      <w:r>
        <w:rPr>
          <w:rFonts w:hint="eastAsia" w:ascii="Times New Roman" w:hAnsi="Times New Roman" w:cs="Times New Roman"/>
          <w:sz w:val="24"/>
          <w:szCs w:val="24"/>
          <w:lang w:val="en-US"/>
        </w:rPr>
        <w:t>日起进行勘察资料的综合整理分析、成果图件编制、岩土工程问题计算分析、报告书编制及全部成果资料的校对、审核工作，</w:t>
      </w:r>
      <w:r>
        <w:rPr>
          <w:rFonts w:ascii="Times New Roman" w:hAnsi="Times New Roman" w:cs="Times New Roman"/>
          <w:sz w:val="24"/>
          <w:szCs w:val="24"/>
          <w:lang w:val="en-US"/>
        </w:rPr>
        <w:t>20</w:t>
      </w:r>
      <w:r>
        <w:rPr>
          <w:rFonts w:hint="eastAsia" w:ascii="Times New Roman" w:hAnsi="Times New Roman" w:cs="Times New Roman"/>
          <w:sz w:val="24"/>
          <w:szCs w:val="24"/>
          <w:lang w:val="en-US"/>
        </w:rPr>
        <w:t>20年0</w:t>
      </w:r>
      <w:r>
        <w:rPr>
          <w:rFonts w:hint="eastAsia" w:ascii="Times New Roman" w:hAnsi="Times New Roman" w:cs="Times New Roman"/>
          <w:sz w:val="24"/>
          <w:szCs w:val="24"/>
          <w:lang w:val="en-US" w:eastAsia="zh-CN"/>
        </w:rPr>
        <w:t>4</w:t>
      </w:r>
      <w:r>
        <w:rPr>
          <w:rFonts w:hint="eastAsia" w:ascii="Times New Roman" w:hAnsi="Times New Roman" w:cs="Times New Roman"/>
          <w:sz w:val="24"/>
          <w:szCs w:val="24"/>
          <w:lang w:val="en-US"/>
        </w:rPr>
        <w:t>月</w:t>
      </w:r>
      <w:r>
        <w:rPr>
          <w:rFonts w:hint="eastAsia" w:ascii="Times New Roman" w:hAnsi="Times New Roman" w:cs="Times New Roman"/>
          <w:sz w:val="24"/>
          <w:szCs w:val="24"/>
          <w:lang w:val="en-US" w:eastAsia="zh-CN"/>
        </w:rPr>
        <w:t>24</w:t>
      </w:r>
      <w:r>
        <w:rPr>
          <w:rFonts w:hint="eastAsia" w:ascii="Times New Roman" w:hAnsi="Times New Roman" w:cs="Times New Roman"/>
          <w:sz w:val="24"/>
          <w:szCs w:val="24"/>
          <w:lang w:val="en-US"/>
        </w:rPr>
        <w:t>日提交本工程详细勘察阶段的岩土工程勘察报告。</w:t>
      </w:r>
    </w:p>
    <w:p>
      <w:pPr>
        <w:spacing w:line="360" w:lineRule="auto"/>
        <w:rPr>
          <w:b/>
          <w:sz w:val="24"/>
        </w:rPr>
      </w:pPr>
      <w:r>
        <w:rPr>
          <w:rFonts w:hint="eastAsia"/>
          <w:b/>
          <w:sz w:val="24"/>
        </w:rPr>
        <w:t>1.4.2.</w:t>
      </w:r>
      <w:r>
        <w:rPr>
          <w:b/>
          <w:sz w:val="24"/>
        </w:rPr>
        <w:t>勘察方法</w:t>
      </w:r>
    </w:p>
    <w:p>
      <w:pPr>
        <w:pStyle w:val="56"/>
        <w:spacing w:line="480" w:lineRule="exact"/>
        <w:ind w:firstLine="480"/>
        <w:rPr>
          <w:rFonts w:ascii="Times New Roman" w:hAnsi="Times New Roman" w:cs="Times New Roman"/>
          <w:sz w:val="24"/>
          <w:szCs w:val="24"/>
          <w:lang w:val="en-US"/>
        </w:rPr>
      </w:pPr>
      <w:r>
        <w:rPr>
          <w:rFonts w:hint="eastAsia" w:ascii="Times New Roman" w:hAnsi="Times New Roman" w:cs="Times New Roman"/>
          <w:sz w:val="24"/>
          <w:szCs w:val="24"/>
          <w:lang w:val="en-US"/>
        </w:rPr>
        <w:t>根据《岩土工程勘察规范》</w:t>
      </w:r>
      <w:r>
        <w:rPr>
          <w:rFonts w:ascii="Times New Roman" w:hAnsi="Times New Roman" w:cs="Times New Roman"/>
          <w:sz w:val="24"/>
          <w:szCs w:val="24"/>
          <w:lang w:val="en-US"/>
        </w:rPr>
        <w:t>GB50021-2001</w:t>
      </w:r>
      <w:r>
        <w:rPr>
          <w:rFonts w:hint="eastAsia" w:ascii="Times New Roman" w:hAnsi="Times New Roman" w:cs="Times New Roman"/>
          <w:sz w:val="24"/>
          <w:szCs w:val="24"/>
          <w:lang w:val="en-US"/>
        </w:rPr>
        <w:t>（2009年版）等规范的技术要求确定本次勘察工作。采用钻探取样、室内土工试验，原位测试(标准贯入试验、波速试验</w:t>
      </w:r>
      <w:r>
        <w:rPr>
          <w:rFonts w:hint="eastAsia" w:ascii="Times New Roman" w:hAnsi="Times New Roman" w:cs="Times New Roman"/>
          <w:sz w:val="24"/>
          <w:szCs w:val="24"/>
          <w:lang w:val="en-US" w:eastAsia="zh-CN"/>
        </w:rPr>
        <w:t>.静力触探试验</w:t>
      </w:r>
      <w:r>
        <w:rPr>
          <w:rFonts w:hint="eastAsia" w:ascii="Times New Roman" w:hAnsi="Times New Roman" w:cs="Times New Roman"/>
          <w:sz w:val="24"/>
          <w:szCs w:val="24"/>
          <w:lang w:val="en-US"/>
        </w:rPr>
        <w:t>)相结合的方法，以达到勘察报告分析准确全面、建议科学合理的目的。</w:t>
      </w:r>
    </w:p>
    <w:p>
      <w:pPr>
        <w:pStyle w:val="56"/>
        <w:spacing w:line="480" w:lineRule="exact"/>
        <w:ind w:firstLine="0" w:firstLineChars="0"/>
        <w:rPr>
          <w:rFonts w:ascii="Times New Roman" w:hAnsi="Times New Roman" w:cs="Times New Roman"/>
          <w:sz w:val="24"/>
          <w:szCs w:val="24"/>
          <w:lang w:val="en-US"/>
        </w:rPr>
      </w:pPr>
      <w:r>
        <w:rPr>
          <w:rFonts w:hint="eastAsia" w:ascii="Times New Roman" w:hAnsi="Times New Roman" w:cs="Times New Roman"/>
          <w:b/>
          <w:sz w:val="24"/>
          <w:szCs w:val="24"/>
        </w:rPr>
        <w:t>1.4.2.1.</w:t>
      </w:r>
      <w:r>
        <w:rPr>
          <w:rFonts w:hint="eastAsia"/>
          <w:b/>
          <w:sz w:val="24"/>
          <w:szCs w:val="24"/>
        </w:rPr>
        <w:t>勘探孔测量:</w:t>
      </w:r>
      <w:r>
        <w:rPr>
          <w:rFonts w:hint="eastAsia" w:ascii="Times New Roman" w:hAnsi="Times New Roman" w:cs="Times New Roman"/>
          <w:sz w:val="24"/>
          <w:szCs w:val="24"/>
          <w:lang w:val="en-US"/>
        </w:rPr>
        <w:t>采用全球卫星定位系统GPS进行勘探点定位及孔口高程测量。测量采用长春市城市坐标系统，高程采用城市统一高程系统。</w:t>
      </w:r>
    </w:p>
    <w:p>
      <w:pPr>
        <w:pStyle w:val="56"/>
        <w:spacing w:line="480" w:lineRule="exact"/>
        <w:ind w:firstLine="0" w:firstLineChars="0"/>
        <w:rPr>
          <w:rFonts w:ascii="Times New Roman" w:hAnsi="Times New Roman" w:cs="Times New Roman"/>
          <w:b/>
          <w:sz w:val="24"/>
          <w:szCs w:val="24"/>
        </w:rPr>
      </w:pPr>
      <w:r>
        <w:rPr>
          <w:rFonts w:ascii="Times New Roman" w:hAnsi="Times New Roman" w:cs="Times New Roman"/>
          <w:b/>
          <w:sz w:val="24"/>
          <w:szCs w:val="24"/>
        </w:rPr>
        <w:t>1.</w:t>
      </w:r>
      <w:r>
        <w:rPr>
          <w:rFonts w:hint="eastAsia" w:ascii="Times New Roman" w:hAnsi="Times New Roman" w:cs="Times New Roman"/>
          <w:b/>
          <w:sz w:val="24"/>
          <w:szCs w:val="24"/>
        </w:rPr>
        <w:t>4</w:t>
      </w:r>
      <w:r>
        <w:rPr>
          <w:rFonts w:ascii="Times New Roman" w:hAnsi="Times New Roman" w:cs="Times New Roman"/>
          <w:b/>
          <w:sz w:val="24"/>
          <w:szCs w:val="24"/>
        </w:rPr>
        <w:t>.2.2</w:t>
      </w:r>
      <w:r>
        <w:rPr>
          <w:rFonts w:hint="eastAsia" w:ascii="Times New Roman" w:hAnsi="Times New Roman" w:cs="Times New Roman"/>
          <w:b/>
          <w:sz w:val="24"/>
          <w:szCs w:val="24"/>
        </w:rPr>
        <w:t>.</w:t>
      </w:r>
      <w:r>
        <w:rPr>
          <w:rFonts w:ascii="Times New Roman" w:hAnsi="Times New Roman" w:cs="Times New Roman"/>
          <w:b/>
          <w:sz w:val="24"/>
          <w:szCs w:val="24"/>
        </w:rPr>
        <w:t>钻探：</w:t>
      </w:r>
      <w:r>
        <w:rPr>
          <w:rFonts w:hint="eastAsia" w:ascii="Times New Roman" w:hAnsi="Times New Roman" w:cs="Times New Roman"/>
          <w:sz w:val="24"/>
          <w:szCs w:val="24"/>
        </w:rPr>
        <w:t>钻探设备为2台DPP100-5F型，7台GXY-2Q钻机。黏性土采用螺旋钻干钻，回转方式钻进。遇砂层、基岩采用泥浆护壁岩芯管回转方式钻进</w:t>
      </w:r>
      <w:r>
        <w:rPr>
          <w:rFonts w:hint="eastAsia" w:ascii="Times New Roman" w:hAnsi="Times New Roman" w:cs="Times New Roman"/>
          <w:sz w:val="24"/>
          <w:szCs w:val="24"/>
          <w:lang w:val="en-US"/>
        </w:rPr>
        <w:t>。</w:t>
      </w:r>
    </w:p>
    <w:p>
      <w:pPr>
        <w:pStyle w:val="56"/>
        <w:spacing w:line="480" w:lineRule="exact"/>
        <w:ind w:firstLine="0" w:firstLineChars="0"/>
        <w:rPr>
          <w:rFonts w:ascii="Times New Roman" w:hAnsi="Times New Roman" w:cs="Times New Roman"/>
          <w:sz w:val="24"/>
          <w:szCs w:val="24"/>
          <w:lang w:val="en-US"/>
        </w:rPr>
      </w:pPr>
      <w:r>
        <w:rPr>
          <w:rFonts w:ascii="Times New Roman" w:hAnsi="Times New Roman" w:cs="Times New Roman"/>
          <w:b/>
          <w:sz w:val="24"/>
          <w:szCs w:val="24"/>
        </w:rPr>
        <w:t>1.</w:t>
      </w:r>
      <w:r>
        <w:rPr>
          <w:rFonts w:hint="eastAsia" w:ascii="Times New Roman" w:hAnsi="Times New Roman" w:cs="Times New Roman"/>
          <w:b/>
          <w:sz w:val="24"/>
          <w:szCs w:val="24"/>
        </w:rPr>
        <w:t>4</w:t>
      </w:r>
      <w:r>
        <w:rPr>
          <w:rFonts w:ascii="Times New Roman" w:hAnsi="Times New Roman" w:cs="Times New Roman"/>
          <w:b/>
          <w:sz w:val="24"/>
          <w:szCs w:val="24"/>
        </w:rPr>
        <w:t>.2.3</w:t>
      </w:r>
      <w:r>
        <w:rPr>
          <w:rFonts w:hint="eastAsia" w:ascii="Times New Roman" w:hAnsi="Times New Roman" w:cs="Times New Roman"/>
          <w:b/>
          <w:sz w:val="24"/>
          <w:szCs w:val="24"/>
        </w:rPr>
        <w:t>.</w:t>
      </w:r>
      <w:r>
        <w:rPr>
          <w:rFonts w:ascii="Times New Roman" w:hAnsi="Times New Roman" w:cs="Times New Roman"/>
          <w:b/>
          <w:sz w:val="24"/>
          <w:szCs w:val="24"/>
        </w:rPr>
        <w:t>取土要求</w:t>
      </w:r>
      <w:r>
        <w:rPr>
          <w:rFonts w:ascii="Times New Roman" w:hAnsi="Times New Roman" w:cs="Times New Roman"/>
          <w:sz w:val="24"/>
          <w:szCs w:val="24"/>
        </w:rPr>
        <w:t>：</w:t>
      </w:r>
      <w:r>
        <w:rPr>
          <w:rFonts w:hint="eastAsia" w:ascii="Times New Roman" w:hAnsi="Times New Roman" w:cs="Times New Roman"/>
          <w:sz w:val="24"/>
          <w:szCs w:val="24"/>
        </w:rPr>
        <w:t>黏性土取原状土样，土样质量为Ⅰ～Ⅱ级，钻探时采用回转钻进方法，到达取样位置后，采用自由活塞敞口取土器静压式取土，取土器直径为108 mm，取土间距一般1.0~2.0 m。钻孔中遇砂土，取扰动砂样，在标准贯入器中取扰动砂样。所取所有试样均及时密封，贴上标签送到土工试验室进行试验，样品具有代表性。</w:t>
      </w:r>
    </w:p>
    <w:p>
      <w:pPr>
        <w:pStyle w:val="56"/>
        <w:spacing w:line="480" w:lineRule="exact"/>
        <w:ind w:firstLine="0" w:firstLineChars="0"/>
        <w:rPr>
          <w:rFonts w:ascii="Times New Roman" w:hAnsi="Times New Roman" w:cs="Times New Roman"/>
          <w:sz w:val="24"/>
          <w:szCs w:val="24"/>
          <w:lang w:val="en-US"/>
        </w:rPr>
      </w:pPr>
      <w:r>
        <w:rPr>
          <w:rFonts w:ascii="Times New Roman" w:hAnsi="Times New Roman" w:cs="Times New Roman"/>
          <w:b/>
          <w:sz w:val="24"/>
          <w:szCs w:val="24"/>
        </w:rPr>
        <w:t>1.</w:t>
      </w:r>
      <w:r>
        <w:rPr>
          <w:rFonts w:hint="eastAsia" w:ascii="Times New Roman" w:hAnsi="Times New Roman" w:cs="Times New Roman"/>
          <w:b/>
          <w:sz w:val="24"/>
          <w:szCs w:val="24"/>
        </w:rPr>
        <w:t>4</w:t>
      </w:r>
      <w:r>
        <w:rPr>
          <w:rFonts w:ascii="Times New Roman" w:hAnsi="Times New Roman" w:cs="Times New Roman"/>
          <w:b/>
          <w:sz w:val="24"/>
          <w:szCs w:val="24"/>
        </w:rPr>
        <w:t>.</w:t>
      </w:r>
      <w:r>
        <w:rPr>
          <w:rFonts w:hint="eastAsia" w:ascii="Times New Roman" w:hAnsi="Times New Roman" w:cs="Times New Roman"/>
          <w:b/>
          <w:sz w:val="24"/>
          <w:szCs w:val="24"/>
        </w:rPr>
        <w:t>2.4.</w:t>
      </w:r>
      <w:r>
        <w:rPr>
          <w:rFonts w:ascii="Times New Roman" w:hAnsi="Times New Roman" w:cs="Times New Roman"/>
          <w:b/>
          <w:sz w:val="24"/>
          <w:szCs w:val="24"/>
        </w:rPr>
        <w:t>土工试验：</w:t>
      </w:r>
      <w:r>
        <w:rPr>
          <w:rFonts w:hint="eastAsia" w:ascii="Times New Roman" w:hAnsi="Times New Roman" w:cs="Times New Roman"/>
          <w:sz w:val="24"/>
          <w:szCs w:val="24"/>
          <w:lang w:val="en-US"/>
        </w:rPr>
        <w:t>采用YLsoft.C0土工试验数据采集及处理系统及KTG-8型数据采集仪进行黏性土试验，试验项目包括黏性土的常规试验----天然密度、比重、天然含水率、界限含水率、固结试验、</w:t>
      </w:r>
      <w:r>
        <w:rPr>
          <w:rFonts w:hint="eastAsia" w:ascii="Times New Roman" w:hAnsi="Times New Roman" w:cs="Times New Roman"/>
          <w:sz w:val="24"/>
          <w:szCs w:val="24"/>
          <w:lang w:val="en-US" w:eastAsia="zh-CN"/>
        </w:rPr>
        <w:t>直剪</w:t>
      </w:r>
      <w:r>
        <w:rPr>
          <w:rFonts w:hint="eastAsia" w:ascii="Times New Roman" w:hAnsi="Times New Roman" w:cs="Times New Roman"/>
          <w:sz w:val="24"/>
          <w:szCs w:val="24"/>
          <w:lang w:val="en-US"/>
        </w:rPr>
        <w:t>剪切试验。在试验过程中，严格按照《土工试验方法标准》(GB/T50123-1999)进行操作。</w:t>
      </w:r>
    </w:p>
    <w:p>
      <w:pPr>
        <w:pStyle w:val="56"/>
        <w:spacing w:line="480" w:lineRule="exact"/>
        <w:ind w:firstLine="0" w:firstLineChars="0"/>
        <w:rPr>
          <w:rFonts w:ascii="Times New Roman" w:hAnsi="Times New Roman" w:cs="Times New Roman"/>
          <w:sz w:val="24"/>
          <w:szCs w:val="24"/>
          <w:lang w:val="en-US"/>
        </w:rPr>
      </w:pPr>
      <w:r>
        <w:rPr>
          <w:rFonts w:ascii="Times New Roman" w:hAnsi="Times New Roman" w:cs="Times New Roman"/>
          <w:b/>
          <w:sz w:val="24"/>
        </w:rPr>
        <w:t>1.</w:t>
      </w:r>
      <w:r>
        <w:rPr>
          <w:rFonts w:hint="eastAsia" w:ascii="Times New Roman" w:hAnsi="Times New Roman" w:cs="Times New Roman"/>
          <w:b/>
          <w:sz w:val="24"/>
        </w:rPr>
        <w:t>4</w:t>
      </w:r>
      <w:r>
        <w:rPr>
          <w:rFonts w:ascii="Times New Roman" w:hAnsi="Times New Roman" w:cs="Times New Roman"/>
          <w:b/>
          <w:sz w:val="24"/>
        </w:rPr>
        <w:t>.2.</w:t>
      </w:r>
      <w:r>
        <w:rPr>
          <w:rFonts w:hint="eastAsia" w:ascii="Times New Roman" w:hAnsi="Times New Roman" w:cs="Times New Roman"/>
          <w:b/>
          <w:sz w:val="24"/>
          <w:lang w:val="en-US" w:eastAsia="zh-CN"/>
        </w:rPr>
        <w:t>5</w:t>
      </w:r>
      <w:r>
        <w:rPr>
          <w:rFonts w:hint="eastAsia" w:ascii="Times New Roman" w:hAnsi="Times New Roman" w:cs="Times New Roman"/>
          <w:b/>
          <w:sz w:val="24"/>
        </w:rPr>
        <w:t>.标准贯入试验：</w:t>
      </w:r>
      <w:r>
        <w:rPr>
          <w:rFonts w:hint="eastAsia" w:ascii="Times New Roman" w:hAnsi="Times New Roman" w:cs="Times New Roman"/>
          <w:sz w:val="24"/>
          <w:szCs w:val="24"/>
          <w:lang w:val="en-US"/>
        </w:rPr>
        <w:t>采用自动脱钩的自由落锤，锤重</w:t>
      </w:r>
      <w:r>
        <w:rPr>
          <w:rFonts w:ascii="Times New Roman" w:hAnsi="Times New Roman" w:cs="Times New Roman"/>
          <w:sz w:val="24"/>
          <w:szCs w:val="24"/>
          <w:lang w:val="en-US"/>
        </w:rPr>
        <w:t>63.5kg，落距76cm，</w:t>
      </w:r>
      <w:r>
        <w:rPr>
          <w:rFonts w:hint="eastAsia" w:ascii="Times New Roman" w:hAnsi="Times New Roman" w:cs="Times New Roman"/>
          <w:sz w:val="24"/>
          <w:szCs w:val="24"/>
          <w:lang w:val="en-US"/>
        </w:rPr>
        <w:t>贯入器采用国内统一标准的标准贯入器。</w:t>
      </w:r>
    </w:p>
    <w:p>
      <w:pPr>
        <w:pStyle w:val="56"/>
        <w:spacing w:line="480" w:lineRule="exact"/>
        <w:ind w:firstLine="0" w:firstLineChars="0"/>
        <w:rPr>
          <w:rFonts w:ascii="Times New Roman" w:hAnsi="Times New Roman" w:cs="Times New Roman"/>
          <w:sz w:val="24"/>
          <w:szCs w:val="24"/>
          <w:lang w:val="en-US"/>
        </w:rPr>
      </w:pPr>
      <w:r>
        <w:rPr>
          <w:rFonts w:hint="eastAsia" w:ascii="Times New Roman" w:hAnsi="Times New Roman" w:cs="Times New Roman"/>
          <w:b/>
          <w:sz w:val="24"/>
        </w:rPr>
        <w:t>1.4.2.</w:t>
      </w:r>
      <w:r>
        <w:rPr>
          <w:rFonts w:hint="eastAsia" w:ascii="Times New Roman" w:hAnsi="Times New Roman" w:cs="Times New Roman"/>
          <w:b/>
          <w:sz w:val="24"/>
          <w:lang w:val="en-US" w:eastAsia="zh-CN"/>
        </w:rPr>
        <w:t>6</w:t>
      </w:r>
      <w:r>
        <w:rPr>
          <w:rFonts w:hint="eastAsia" w:ascii="Times New Roman" w:hAnsi="Times New Roman" w:cs="Times New Roman"/>
          <w:b/>
          <w:sz w:val="24"/>
        </w:rPr>
        <w:t>.</w:t>
      </w:r>
      <w:r>
        <w:rPr>
          <w:rFonts w:hint="eastAsia" w:ascii="Times New Roman" w:hAnsi="Times New Roman" w:cs="Times New Roman"/>
          <w:b/>
          <w:sz w:val="24"/>
          <w:lang w:val="en-US"/>
        </w:rPr>
        <w:t>波速测试：</w:t>
      </w:r>
      <w:r>
        <w:rPr>
          <w:rFonts w:ascii="Times New Roman" w:hAnsi="Times New Roman" w:cs="Times New Roman"/>
          <w:sz w:val="24"/>
          <w:szCs w:val="24"/>
        </w:rPr>
        <w:t>仪器设备：XG-I型悬挂式波速测井仪，采用单孔法测试并计算各土(岩)层的剪切波速。</w:t>
      </w:r>
    </w:p>
    <w:p>
      <w:pPr>
        <w:spacing w:line="360" w:lineRule="auto"/>
        <w:rPr>
          <w:b/>
          <w:sz w:val="24"/>
        </w:rPr>
      </w:pPr>
      <w:r>
        <w:rPr>
          <w:rFonts w:hint="eastAsia"/>
          <w:b/>
          <w:sz w:val="24"/>
        </w:rPr>
        <w:t>1.4.3.完成工作量汇总</w:t>
      </w:r>
    </w:p>
    <w:p>
      <w:pPr>
        <w:pStyle w:val="56"/>
        <w:spacing w:line="480" w:lineRule="exact"/>
        <w:ind w:firstLine="480"/>
        <w:rPr>
          <w:rFonts w:ascii="Times New Roman" w:hAnsi="Times New Roman" w:cs="Times New Roman"/>
          <w:sz w:val="24"/>
          <w:szCs w:val="24"/>
          <w:lang w:val="en-US"/>
        </w:rPr>
      </w:pPr>
      <w:r>
        <w:rPr>
          <w:rFonts w:hint="eastAsia" w:ascii="Times New Roman" w:hAnsi="Times New Roman" w:cs="Times New Roman"/>
          <w:sz w:val="24"/>
          <w:szCs w:val="24"/>
          <w:lang w:val="en-US"/>
        </w:rPr>
        <w:t>本次勘察共完成</w:t>
      </w:r>
      <w:r>
        <w:rPr>
          <w:rFonts w:hint="eastAsia" w:ascii="Times New Roman" w:hAnsi="Times New Roman" w:cs="Times New Roman"/>
          <w:sz w:val="24"/>
          <w:szCs w:val="24"/>
          <w:lang w:val="en-US" w:eastAsia="zh-CN"/>
        </w:rPr>
        <w:t>374</w:t>
      </w:r>
      <w:r>
        <w:rPr>
          <w:rFonts w:hint="eastAsia" w:ascii="Times New Roman" w:hAnsi="Times New Roman" w:cs="Times New Roman"/>
          <w:sz w:val="24"/>
          <w:szCs w:val="24"/>
          <w:lang w:val="en-US"/>
        </w:rPr>
        <w:t>个勘探点，总进尺</w:t>
      </w:r>
      <w:r>
        <w:rPr>
          <w:rFonts w:hint="eastAsia" w:ascii="Times New Roman" w:hAnsi="Times New Roman" w:cs="Times New Roman"/>
          <w:sz w:val="24"/>
          <w:szCs w:val="24"/>
          <w:lang w:val="en-US" w:eastAsia="zh-CN"/>
        </w:rPr>
        <w:t>7558.9</w:t>
      </w:r>
      <w:r>
        <w:rPr>
          <w:rFonts w:hint="eastAsia" w:ascii="Times New Roman" w:hAnsi="Times New Roman" w:cs="Times New Roman"/>
          <w:sz w:val="24"/>
          <w:szCs w:val="24"/>
          <w:lang w:val="en-US"/>
        </w:rPr>
        <w:t>m。具体的工作量见下表2、表3、表4。</w:t>
      </w:r>
    </w:p>
    <w:p>
      <w:pPr>
        <w:spacing w:line="560" w:lineRule="exact"/>
        <w:jc w:val="center"/>
        <w:rPr>
          <w:sz w:val="24"/>
        </w:rPr>
      </w:pPr>
      <w:r>
        <w:rPr>
          <w:rFonts w:hint="eastAsia"/>
          <w:sz w:val="24"/>
        </w:rPr>
        <w:t>表2   钻探工作量一览表</w:t>
      </w:r>
    </w:p>
    <w:tbl>
      <w:tblPr>
        <w:tblStyle w:val="13"/>
        <w:tblW w:w="98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62"/>
        <w:gridCol w:w="2397"/>
        <w:gridCol w:w="2131"/>
        <w:gridCol w:w="2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662" w:type="dxa"/>
            <w:vAlign w:val="center"/>
          </w:tcPr>
          <w:p>
            <w:pPr>
              <w:pStyle w:val="6"/>
              <w:jc w:val="center"/>
              <w:rPr>
                <w:rFonts w:ascii="Times New Roman"/>
                <w:sz w:val="21"/>
                <w:szCs w:val="28"/>
              </w:rPr>
            </w:pPr>
            <w:r>
              <w:rPr>
                <w:rFonts w:hint="eastAsia" w:ascii="Times New Roman"/>
                <w:sz w:val="21"/>
                <w:szCs w:val="28"/>
              </w:rPr>
              <w:t>钻探孔性质</w:t>
            </w:r>
          </w:p>
        </w:tc>
        <w:tc>
          <w:tcPr>
            <w:tcW w:w="2397" w:type="dxa"/>
            <w:vAlign w:val="center"/>
          </w:tcPr>
          <w:p>
            <w:pPr>
              <w:pStyle w:val="6"/>
              <w:jc w:val="center"/>
              <w:rPr>
                <w:rFonts w:ascii="Times New Roman"/>
                <w:sz w:val="21"/>
                <w:szCs w:val="28"/>
              </w:rPr>
            </w:pPr>
            <w:r>
              <w:rPr>
                <w:rFonts w:hint="eastAsia" w:ascii="Times New Roman"/>
                <w:sz w:val="21"/>
                <w:szCs w:val="28"/>
              </w:rPr>
              <w:t>数   量</w:t>
            </w:r>
          </w:p>
          <w:p>
            <w:pPr>
              <w:pStyle w:val="6"/>
              <w:jc w:val="center"/>
              <w:rPr>
                <w:rFonts w:ascii="Times New Roman"/>
                <w:sz w:val="21"/>
                <w:szCs w:val="28"/>
              </w:rPr>
            </w:pPr>
            <w:r>
              <w:rPr>
                <w:rFonts w:hint="eastAsia" w:ascii="Times New Roman"/>
                <w:sz w:val="21"/>
                <w:szCs w:val="28"/>
              </w:rPr>
              <w:t>（个）</w:t>
            </w:r>
          </w:p>
        </w:tc>
        <w:tc>
          <w:tcPr>
            <w:tcW w:w="2131" w:type="dxa"/>
            <w:vAlign w:val="center"/>
          </w:tcPr>
          <w:p>
            <w:pPr>
              <w:pStyle w:val="6"/>
              <w:jc w:val="center"/>
              <w:rPr>
                <w:rFonts w:ascii="Times New Roman"/>
                <w:sz w:val="21"/>
                <w:szCs w:val="28"/>
              </w:rPr>
            </w:pPr>
            <w:r>
              <w:rPr>
                <w:rFonts w:hint="eastAsia" w:ascii="Times New Roman"/>
                <w:sz w:val="21"/>
                <w:szCs w:val="28"/>
              </w:rPr>
              <w:t>孔   深</w:t>
            </w:r>
          </w:p>
          <w:p>
            <w:pPr>
              <w:pStyle w:val="6"/>
              <w:jc w:val="center"/>
              <w:rPr>
                <w:rFonts w:ascii="Times New Roman"/>
                <w:sz w:val="21"/>
                <w:szCs w:val="28"/>
              </w:rPr>
            </w:pPr>
            <w:r>
              <w:rPr>
                <w:rFonts w:hint="eastAsia" w:ascii="Times New Roman"/>
                <w:sz w:val="21"/>
                <w:szCs w:val="28"/>
              </w:rPr>
              <w:t>（</w:t>
            </w:r>
            <w:r>
              <w:rPr>
                <w:rFonts w:ascii="Times New Roman"/>
                <w:sz w:val="21"/>
                <w:szCs w:val="28"/>
              </w:rPr>
              <w:t>m</w:t>
            </w:r>
            <w:r>
              <w:rPr>
                <w:rFonts w:hint="eastAsia" w:ascii="Times New Roman"/>
                <w:sz w:val="21"/>
                <w:szCs w:val="28"/>
              </w:rPr>
              <w:t>）</w:t>
            </w:r>
          </w:p>
        </w:tc>
        <w:tc>
          <w:tcPr>
            <w:tcW w:w="2665" w:type="dxa"/>
            <w:vAlign w:val="center"/>
          </w:tcPr>
          <w:p>
            <w:pPr>
              <w:pStyle w:val="6"/>
              <w:jc w:val="center"/>
              <w:rPr>
                <w:rFonts w:ascii="Times New Roman"/>
                <w:sz w:val="21"/>
                <w:szCs w:val="28"/>
              </w:rPr>
            </w:pPr>
            <w:r>
              <w:rPr>
                <w:rFonts w:hint="eastAsia" w:ascii="Times New Roman"/>
                <w:sz w:val="21"/>
                <w:szCs w:val="28"/>
              </w:rPr>
              <w:t>累计进尺</w:t>
            </w:r>
          </w:p>
          <w:p>
            <w:pPr>
              <w:pStyle w:val="6"/>
              <w:jc w:val="center"/>
              <w:rPr>
                <w:rFonts w:ascii="Times New Roman"/>
                <w:sz w:val="21"/>
                <w:szCs w:val="28"/>
              </w:rPr>
            </w:pPr>
            <w:r>
              <w:rPr>
                <w:rFonts w:hint="eastAsia" w:ascii="Times New Roman"/>
                <w:sz w:val="21"/>
                <w:szCs w:val="28"/>
              </w:rPr>
              <w:t>（</w:t>
            </w:r>
            <w:r>
              <w:rPr>
                <w:rFonts w:ascii="Times New Roman"/>
                <w:sz w:val="21"/>
                <w:szCs w:val="28"/>
              </w:rPr>
              <w:t>m</w:t>
            </w:r>
            <w:r>
              <w:rPr>
                <w:rFonts w:hint="eastAsia" w:ascii="Times New Roman"/>
                <w:sz w:val="21"/>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662" w:type="dxa"/>
            <w:vAlign w:val="center"/>
          </w:tcPr>
          <w:p>
            <w:pPr>
              <w:pStyle w:val="6"/>
              <w:jc w:val="center"/>
              <w:rPr>
                <w:rFonts w:ascii="Times New Roman"/>
                <w:color w:val="000000"/>
                <w:sz w:val="21"/>
                <w:szCs w:val="28"/>
              </w:rPr>
            </w:pPr>
            <w:r>
              <w:rPr>
                <w:rFonts w:hint="eastAsia" w:ascii="Times New Roman"/>
                <w:color w:val="000000"/>
                <w:sz w:val="21"/>
                <w:szCs w:val="28"/>
              </w:rPr>
              <w:t>钻探孔</w:t>
            </w:r>
          </w:p>
        </w:tc>
        <w:tc>
          <w:tcPr>
            <w:tcW w:w="2397" w:type="dxa"/>
            <w:vAlign w:val="center"/>
          </w:tcPr>
          <w:p>
            <w:pPr>
              <w:pStyle w:val="6"/>
              <w:jc w:val="center"/>
              <w:rPr>
                <w:rFonts w:hint="default" w:ascii="Times New Roman" w:eastAsia="宋体"/>
                <w:sz w:val="21"/>
                <w:szCs w:val="28"/>
                <w:lang w:val="en-US" w:eastAsia="zh-CN"/>
              </w:rPr>
            </w:pPr>
            <w:r>
              <w:rPr>
                <w:rFonts w:hint="eastAsia" w:ascii="Times New Roman"/>
                <w:sz w:val="21"/>
                <w:szCs w:val="28"/>
                <w:lang w:val="en-US" w:eastAsia="zh-CN"/>
              </w:rPr>
              <w:t>374</w:t>
            </w:r>
          </w:p>
        </w:tc>
        <w:tc>
          <w:tcPr>
            <w:tcW w:w="2131" w:type="dxa"/>
            <w:vAlign w:val="center"/>
          </w:tcPr>
          <w:p>
            <w:pPr>
              <w:pStyle w:val="6"/>
              <w:jc w:val="center"/>
              <w:rPr>
                <w:rFonts w:ascii="Times New Roman"/>
                <w:color w:val="000000"/>
                <w:sz w:val="21"/>
                <w:szCs w:val="28"/>
              </w:rPr>
            </w:pPr>
            <w:r>
              <w:rPr>
                <w:rFonts w:hint="eastAsia" w:ascii="Times New Roman"/>
                <w:color w:val="000000"/>
                <w:sz w:val="21"/>
                <w:szCs w:val="28"/>
                <w:lang w:val="en-US" w:eastAsia="zh-CN"/>
              </w:rPr>
              <w:t>12.50</w:t>
            </w:r>
            <w:r>
              <w:rPr>
                <w:rFonts w:hint="eastAsia" w:ascii="Times New Roman"/>
                <w:color w:val="000000"/>
                <w:sz w:val="21"/>
                <w:szCs w:val="28"/>
              </w:rPr>
              <w:t>-</w:t>
            </w:r>
            <w:r>
              <w:rPr>
                <w:rFonts w:hint="eastAsia" w:ascii="Times New Roman"/>
                <w:color w:val="000000"/>
                <w:sz w:val="21"/>
                <w:szCs w:val="28"/>
                <w:lang w:val="en-US" w:eastAsia="zh-CN"/>
              </w:rPr>
              <w:t>26</w:t>
            </w:r>
            <w:r>
              <w:rPr>
                <w:rFonts w:hint="eastAsia" w:ascii="Times New Roman"/>
                <w:color w:val="000000"/>
                <w:sz w:val="21"/>
                <w:szCs w:val="28"/>
              </w:rPr>
              <w:t>.</w:t>
            </w:r>
            <w:r>
              <w:rPr>
                <w:rFonts w:hint="eastAsia" w:ascii="Times New Roman"/>
                <w:color w:val="000000"/>
                <w:sz w:val="21"/>
                <w:szCs w:val="28"/>
                <w:lang w:val="en-US" w:eastAsia="zh-CN"/>
              </w:rPr>
              <w:t>3</w:t>
            </w:r>
            <w:r>
              <w:rPr>
                <w:rFonts w:hint="eastAsia" w:ascii="Times New Roman"/>
                <w:color w:val="000000"/>
                <w:sz w:val="21"/>
                <w:szCs w:val="28"/>
              </w:rPr>
              <w:t>0</w:t>
            </w:r>
          </w:p>
        </w:tc>
        <w:tc>
          <w:tcPr>
            <w:tcW w:w="2665" w:type="dxa"/>
            <w:vAlign w:val="center"/>
          </w:tcPr>
          <w:p>
            <w:pPr>
              <w:pStyle w:val="6"/>
              <w:jc w:val="center"/>
              <w:rPr>
                <w:rFonts w:hint="default" w:ascii="Times New Roman" w:eastAsia="宋体"/>
                <w:color w:val="000000"/>
                <w:sz w:val="21"/>
                <w:szCs w:val="28"/>
                <w:lang w:val="en-US" w:eastAsia="zh-CN"/>
              </w:rPr>
            </w:pPr>
            <w:r>
              <w:rPr>
                <w:rFonts w:hint="eastAsia" w:ascii="Times New Roman"/>
                <w:color w:val="000000"/>
                <w:sz w:val="21"/>
                <w:szCs w:val="28"/>
                <w:lang w:val="en-US" w:eastAsia="zh-CN"/>
              </w:rPr>
              <w:t>7558.9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662" w:type="dxa"/>
            <w:vAlign w:val="center"/>
          </w:tcPr>
          <w:p>
            <w:pPr>
              <w:pStyle w:val="6"/>
              <w:jc w:val="center"/>
              <w:rPr>
                <w:rFonts w:ascii="Times New Roman"/>
                <w:sz w:val="21"/>
                <w:szCs w:val="28"/>
              </w:rPr>
            </w:pPr>
            <w:r>
              <w:rPr>
                <w:rFonts w:hint="eastAsia" w:ascii="Times New Roman"/>
                <w:sz w:val="21"/>
                <w:szCs w:val="28"/>
              </w:rPr>
              <w:t>取土样</w:t>
            </w:r>
          </w:p>
        </w:tc>
        <w:tc>
          <w:tcPr>
            <w:tcW w:w="7193" w:type="dxa"/>
            <w:gridSpan w:val="3"/>
            <w:vAlign w:val="center"/>
          </w:tcPr>
          <w:p>
            <w:pPr>
              <w:pStyle w:val="6"/>
              <w:jc w:val="center"/>
              <w:rPr>
                <w:rFonts w:ascii="Times New Roman"/>
                <w:color w:val="000000"/>
                <w:sz w:val="21"/>
                <w:szCs w:val="28"/>
              </w:rPr>
            </w:pPr>
            <w:r>
              <w:rPr>
                <w:rFonts w:hint="eastAsia" w:ascii="Times New Roman"/>
                <w:color w:val="000000"/>
                <w:sz w:val="21"/>
                <w:szCs w:val="28"/>
                <w:lang w:val="en-US" w:eastAsia="zh-CN"/>
              </w:rPr>
              <w:t>1314</w:t>
            </w:r>
            <w:r>
              <w:rPr>
                <w:rFonts w:hint="eastAsia" w:ascii="Times New Roman"/>
                <w:color w:val="000000"/>
                <w:sz w:val="21"/>
                <w:szCs w:val="28"/>
              </w:rPr>
              <w:t>件（原状土样</w:t>
            </w:r>
            <w:r>
              <w:rPr>
                <w:rFonts w:hint="eastAsia" w:ascii="Times New Roman"/>
                <w:color w:val="000000"/>
                <w:sz w:val="21"/>
                <w:szCs w:val="28"/>
                <w:lang w:val="en-US" w:eastAsia="zh-CN"/>
              </w:rPr>
              <w:t>608</w:t>
            </w:r>
            <w:r>
              <w:rPr>
                <w:rFonts w:hint="eastAsia" w:ascii="Times New Roman"/>
                <w:color w:val="000000"/>
                <w:sz w:val="21"/>
                <w:szCs w:val="28"/>
              </w:rPr>
              <w:t>件</w:t>
            </w:r>
            <w:r>
              <w:rPr>
                <w:rFonts w:hint="eastAsia" w:ascii="Times New Roman"/>
                <w:color w:val="000000"/>
                <w:sz w:val="21"/>
                <w:szCs w:val="28"/>
                <w:lang w:eastAsia="zh-CN"/>
              </w:rPr>
              <w:t>，扰动土样</w:t>
            </w:r>
            <w:r>
              <w:rPr>
                <w:rFonts w:hint="eastAsia" w:ascii="Times New Roman"/>
                <w:color w:val="000000"/>
                <w:sz w:val="21"/>
                <w:szCs w:val="28"/>
                <w:lang w:val="en-US" w:eastAsia="zh-CN"/>
              </w:rPr>
              <w:t>525件，岩样203件</w:t>
            </w:r>
            <w:r>
              <w:rPr>
                <w:rFonts w:hint="eastAsia" w:ascii="Times New Roman"/>
                <w:color w:val="000000"/>
                <w:sz w:val="21"/>
                <w:szCs w:val="28"/>
              </w:rPr>
              <w:t>）</w:t>
            </w:r>
          </w:p>
        </w:tc>
      </w:tr>
    </w:tbl>
    <w:p>
      <w:pPr>
        <w:spacing w:line="560" w:lineRule="exact"/>
        <w:jc w:val="center"/>
        <w:rPr>
          <w:sz w:val="24"/>
        </w:rPr>
      </w:pPr>
      <w:r>
        <w:rPr>
          <w:rFonts w:hint="eastAsia"/>
          <w:sz w:val="24"/>
        </w:rPr>
        <w:t>表3   原位测试项目一览表</w:t>
      </w:r>
    </w:p>
    <w:tbl>
      <w:tblPr>
        <w:tblStyle w:val="13"/>
        <w:tblW w:w="100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3"/>
        <w:gridCol w:w="2091"/>
        <w:gridCol w:w="3072"/>
        <w:gridCol w:w="28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4134" w:type="dxa"/>
            <w:gridSpan w:val="2"/>
            <w:vAlign w:val="center"/>
          </w:tcPr>
          <w:p>
            <w:pPr>
              <w:pStyle w:val="6"/>
              <w:jc w:val="center"/>
              <w:rPr>
                <w:rFonts w:ascii="Times New Roman"/>
                <w:sz w:val="21"/>
                <w:szCs w:val="28"/>
              </w:rPr>
            </w:pPr>
            <w:r>
              <w:rPr>
                <w:rFonts w:ascii="Times New Roman"/>
                <w:sz w:val="21"/>
                <w:szCs w:val="28"/>
              </w:rPr>
              <w:t>测试项目</w:t>
            </w:r>
          </w:p>
        </w:tc>
        <w:tc>
          <w:tcPr>
            <w:tcW w:w="5956" w:type="dxa"/>
            <w:gridSpan w:val="2"/>
            <w:tcBorders>
              <w:bottom w:val="single" w:color="auto" w:sz="4" w:space="0"/>
            </w:tcBorders>
            <w:vAlign w:val="center"/>
          </w:tcPr>
          <w:p>
            <w:pPr>
              <w:pStyle w:val="6"/>
              <w:jc w:val="center"/>
              <w:rPr>
                <w:rFonts w:ascii="Times New Roman"/>
                <w:sz w:val="21"/>
                <w:szCs w:val="28"/>
              </w:rPr>
            </w:pPr>
            <w:r>
              <w:rPr>
                <w:rFonts w:ascii="Times New Roman"/>
                <w:sz w:val="21"/>
                <w:szCs w:val="28"/>
              </w:rPr>
              <w:t>数 量 统 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2043" w:type="dxa"/>
            <w:vAlign w:val="center"/>
          </w:tcPr>
          <w:p>
            <w:pPr>
              <w:pStyle w:val="6"/>
              <w:jc w:val="center"/>
              <w:rPr>
                <w:rFonts w:ascii="Times New Roman"/>
                <w:sz w:val="21"/>
                <w:szCs w:val="28"/>
              </w:rPr>
            </w:pPr>
            <w:r>
              <w:rPr>
                <w:rFonts w:hint="eastAsia" w:ascii="Times New Roman"/>
                <w:sz w:val="21"/>
                <w:szCs w:val="28"/>
              </w:rPr>
              <w:t>钻探孔数</w:t>
            </w:r>
          </w:p>
        </w:tc>
        <w:tc>
          <w:tcPr>
            <w:tcW w:w="2091" w:type="dxa"/>
            <w:vAlign w:val="center"/>
          </w:tcPr>
          <w:p>
            <w:pPr>
              <w:pStyle w:val="6"/>
              <w:jc w:val="center"/>
              <w:rPr>
                <w:rFonts w:ascii="Times New Roman"/>
                <w:sz w:val="21"/>
                <w:szCs w:val="28"/>
              </w:rPr>
            </w:pPr>
            <w:r>
              <w:rPr>
                <w:rFonts w:ascii="Times New Roman"/>
                <w:sz w:val="21"/>
                <w:szCs w:val="28"/>
              </w:rPr>
              <w:t>标准贯入试验</w:t>
            </w:r>
          </w:p>
        </w:tc>
        <w:tc>
          <w:tcPr>
            <w:tcW w:w="3072" w:type="dxa"/>
            <w:vAlign w:val="center"/>
          </w:tcPr>
          <w:p>
            <w:pPr>
              <w:pStyle w:val="6"/>
              <w:jc w:val="center"/>
              <w:rPr>
                <w:rFonts w:ascii="Times New Roman"/>
                <w:color w:val="000000"/>
                <w:sz w:val="21"/>
                <w:szCs w:val="28"/>
              </w:rPr>
            </w:pPr>
            <w:r>
              <w:rPr>
                <w:rFonts w:hint="eastAsia" w:ascii="Times New Roman"/>
                <w:sz w:val="21"/>
                <w:szCs w:val="28"/>
                <w:lang w:val="en-US" w:eastAsia="zh-CN"/>
              </w:rPr>
              <w:t>374</w:t>
            </w:r>
            <w:r>
              <w:rPr>
                <w:rFonts w:hint="eastAsia" w:ascii="Times New Roman"/>
                <w:sz w:val="21"/>
                <w:szCs w:val="28"/>
              </w:rPr>
              <w:t>孔</w:t>
            </w:r>
          </w:p>
        </w:tc>
        <w:tc>
          <w:tcPr>
            <w:tcW w:w="2884" w:type="dxa"/>
            <w:vAlign w:val="center"/>
          </w:tcPr>
          <w:p>
            <w:pPr>
              <w:pStyle w:val="6"/>
              <w:jc w:val="center"/>
              <w:rPr>
                <w:rFonts w:ascii="Times New Roman"/>
                <w:color w:val="000000"/>
                <w:sz w:val="21"/>
                <w:szCs w:val="28"/>
              </w:rPr>
            </w:pPr>
            <w:r>
              <w:rPr>
                <w:rFonts w:hint="eastAsia" w:ascii="Times New Roman"/>
                <w:sz w:val="21"/>
                <w:szCs w:val="28"/>
                <w:lang w:val="en-US" w:eastAsia="zh-CN"/>
              </w:rPr>
              <w:t>3054</w:t>
            </w:r>
            <w:r>
              <w:rPr>
                <w:rFonts w:hint="eastAsia" w:ascii="Times New Roman"/>
                <w:sz w:val="21"/>
                <w:szCs w:val="28"/>
              </w:rPr>
              <w:t>次</w:t>
            </w:r>
          </w:p>
        </w:tc>
      </w:tr>
    </w:tbl>
    <w:p>
      <w:pPr>
        <w:spacing w:line="560" w:lineRule="exact"/>
        <w:jc w:val="center"/>
        <w:rPr>
          <w:sz w:val="24"/>
        </w:rPr>
      </w:pPr>
      <w:r>
        <w:rPr>
          <w:rFonts w:hint="eastAsia"/>
          <w:sz w:val="24"/>
        </w:rPr>
        <w:t>表4   室内试验项目一览表</w:t>
      </w:r>
    </w:p>
    <w:tbl>
      <w:tblPr>
        <w:tblStyle w:val="13"/>
        <w:tblW w:w="100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13"/>
        <w:gridCol w:w="36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13" w:type="dxa"/>
            <w:vAlign w:val="center"/>
          </w:tcPr>
          <w:p>
            <w:pPr>
              <w:jc w:val="center"/>
              <w:rPr>
                <w:bCs/>
                <w:szCs w:val="28"/>
              </w:rPr>
            </w:pPr>
            <w:r>
              <w:rPr>
                <w:rFonts w:hint="eastAsia"/>
                <w:bCs/>
                <w:szCs w:val="28"/>
              </w:rPr>
              <w:t>试验项目</w:t>
            </w:r>
          </w:p>
        </w:tc>
        <w:tc>
          <w:tcPr>
            <w:tcW w:w="3677" w:type="dxa"/>
            <w:vAlign w:val="center"/>
          </w:tcPr>
          <w:p>
            <w:pPr>
              <w:jc w:val="center"/>
              <w:rPr>
                <w:bCs/>
                <w:szCs w:val="28"/>
              </w:rPr>
            </w:pPr>
            <w:r>
              <w:rPr>
                <w:rFonts w:hint="eastAsia"/>
                <w:bCs/>
                <w:szCs w:val="28"/>
              </w:rPr>
              <w:t>数  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13" w:type="dxa"/>
            <w:vAlign w:val="center"/>
          </w:tcPr>
          <w:p>
            <w:pPr>
              <w:jc w:val="center"/>
              <w:rPr>
                <w:bCs/>
                <w:szCs w:val="28"/>
              </w:rPr>
            </w:pPr>
            <w:r>
              <w:rPr>
                <w:rFonts w:hint="eastAsia"/>
                <w:bCs/>
                <w:szCs w:val="28"/>
              </w:rPr>
              <w:t>土常规试验</w:t>
            </w:r>
          </w:p>
        </w:tc>
        <w:tc>
          <w:tcPr>
            <w:tcW w:w="3677" w:type="dxa"/>
            <w:vAlign w:val="center"/>
          </w:tcPr>
          <w:p>
            <w:pPr>
              <w:jc w:val="center"/>
              <w:rPr>
                <w:rFonts w:hint="eastAsia" w:ascii="Times New Roman" w:hAnsi="Times New Roman" w:eastAsia="宋体" w:cs="Times New Roman"/>
                <w:kern w:val="0"/>
                <w:sz w:val="21"/>
                <w:szCs w:val="28"/>
                <w:lang w:val="en-US" w:eastAsia="zh-CN" w:bidi="ar-SA"/>
              </w:rPr>
            </w:pPr>
            <w:r>
              <w:rPr>
                <w:rFonts w:hint="eastAsia" w:cs="Times New Roman"/>
                <w:kern w:val="0"/>
                <w:sz w:val="21"/>
                <w:szCs w:val="28"/>
                <w:lang w:val="en-US" w:eastAsia="zh-CN" w:bidi="ar-SA"/>
              </w:rPr>
              <w:t>564</w:t>
            </w:r>
            <w:r>
              <w:rPr>
                <w:rFonts w:hint="eastAsia" w:ascii="Times New Roman" w:hAnsi="Times New Roman" w:eastAsia="宋体" w:cs="Times New Roman"/>
                <w:kern w:val="0"/>
                <w:sz w:val="21"/>
                <w:szCs w:val="28"/>
                <w:lang w:val="en-US" w:eastAsia="zh-CN" w:bidi="ar-SA"/>
              </w:rPr>
              <w:t>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13" w:type="dxa"/>
            <w:vAlign w:val="center"/>
          </w:tcPr>
          <w:p>
            <w:pPr>
              <w:jc w:val="center"/>
              <w:rPr>
                <w:bCs/>
                <w:szCs w:val="28"/>
              </w:rPr>
            </w:pPr>
            <w:r>
              <w:rPr>
                <w:rFonts w:hint="eastAsia"/>
                <w:bCs/>
                <w:szCs w:val="28"/>
              </w:rPr>
              <w:t>颗粒分析试验</w:t>
            </w:r>
          </w:p>
        </w:tc>
        <w:tc>
          <w:tcPr>
            <w:tcW w:w="3677" w:type="dxa"/>
            <w:vAlign w:val="center"/>
          </w:tcPr>
          <w:p>
            <w:pPr>
              <w:jc w:val="center"/>
              <w:rPr>
                <w:rFonts w:hint="eastAsia" w:ascii="Times New Roman" w:hAnsi="Times New Roman" w:eastAsia="宋体" w:cs="Times New Roman"/>
                <w:kern w:val="0"/>
                <w:sz w:val="21"/>
                <w:szCs w:val="28"/>
                <w:lang w:val="en-US" w:eastAsia="zh-CN" w:bidi="ar-SA"/>
              </w:rPr>
            </w:pPr>
            <w:r>
              <w:rPr>
                <w:rFonts w:hint="eastAsia" w:cs="Times New Roman"/>
                <w:kern w:val="0"/>
                <w:sz w:val="21"/>
                <w:szCs w:val="28"/>
                <w:lang w:val="en-US" w:eastAsia="zh-CN" w:bidi="ar-SA"/>
              </w:rPr>
              <w:t>525</w:t>
            </w:r>
            <w:r>
              <w:rPr>
                <w:rFonts w:hint="eastAsia" w:ascii="Times New Roman" w:hAnsi="Times New Roman" w:eastAsia="宋体" w:cs="Times New Roman"/>
                <w:kern w:val="0"/>
                <w:sz w:val="21"/>
                <w:szCs w:val="28"/>
                <w:lang w:val="en-US" w:eastAsia="zh-CN" w:bidi="ar-SA"/>
              </w:rPr>
              <w:t>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13" w:type="dxa"/>
            <w:vAlign w:val="center"/>
          </w:tcPr>
          <w:p>
            <w:pPr>
              <w:jc w:val="center"/>
              <w:rPr>
                <w:bCs/>
                <w:szCs w:val="28"/>
              </w:rPr>
            </w:pPr>
            <w:r>
              <w:rPr>
                <w:rFonts w:hint="eastAsia"/>
                <w:bCs/>
                <w:szCs w:val="28"/>
                <w:lang w:eastAsia="zh-CN"/>
              </w:rPr>
              <w:t>直剪</w:t>
            </w:r>
            <w:r>
              <w:rPr>
                <w:rFonts w:hint="eastAsia"/>
                <w:bCs/>
                <w:szCs w:val="28"/>
              </w:rPr>
              <w:t>剪切试验</w:t>
            </w:r>
          </w:p>
        </w:tc>
        <w:tc>
          <w:tcPr>
            <w:tcW w:w="3677" w:type="dxa"/>
            <w:vAlign w:val="center"/>
          </w:tcPr>
          <w:p>
            <w:pPr>
              <w:jc w:val="center"/>
              <w:rPr>
                <w:rFonts w:hint="eastAsia" w:ascii="Times New Roman" w:hAnsi="Times New Roman" w:eastAsia="宋体" w:cs="Times New Roman"/>
                <w:kern w:val="0"/>
                <w:sz w:val="21"/>
                <w:szCs w:val="28"/>
                <w:lang w:val="en-US" w:eastAsia="zh-CN" w:bidi="ar-SA"/>
              </w:rPr>
            </w:pPr>
            <w:r>
              <w:rPr>
                <w:rFonts w:hint="eastAsia" w:cs="Times New Roman"/>
                <w:kern w:val="0"/>
                <w:sz w:val="21"/>
                <w:szCs w:val="28"/>
                <w:lang w:val="en-US" w:eastAsia="zh-CN" w:bidi="ar-SA"/>
              </w:rPr>
              <w:t>221</w:t>
            </w:r>
            <w:r>
              <w:rPr>
                <w:rFonts w:hint="eastAsia" w:ascii="Times New Roman" w:hAnsi="Times New Roman" w:eastAsia="宋体" w:cs="Times New Roman"/>
                <w:kern w:val="0"/>
                <w:sz w:val="21"/>
                <w:szCs w:val="28"/>
                <w:lang w:val="en-US" w:eastAsia="zh-CN" w:bidi="ar-SA"/>
              </w:rPr>
              <w:t>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413" w:type="dxa"/>
            <w:vAlign w:val="center"/>
          </w:tcPr>
          <w:p>
            <w:pPr>
              <w:jc w:val="center"/>
              <w:rPr>
                <w:rFonts w:hint="eastAsia"/>
                <w:bCs/>
                <w:szCs w:val="28"/>
                <w:lang w:eastAsia="zh-CN"/>
              </w:rPr>
            </w:pPr>
            <w:r>
              <w:rPr>
                <w:rFonts w:hint="eastAsia"/>
                <w:bCs/>
                <w:szCs w:val="28"/>
                <w:lang w:eastAsia="zh-CN"/>
              </w:rPr>
              <w:t>饱和单轴抗压试验</w:t>
            </w:r>
          </w:p>
        </w:tc>
        <w:tc>
          <w:tcPr>
            <w:tcW w:w="3677" w:type="dxa"/>
            <w:vAlign w:val="center"/>
          </w:tcPr>
          <w:p>
            <w:pPr>
              <w:jc w:val="center"/>
              <w:rPr>
                <w:rFonts w:hint="eastAsia" w:ascii="Times New Roman" w:hAnsi="Times New Roman" w:eastAsia="宋体" w:cs="Times New Roman"/>
                <w:kern w:val="0"/>
                <w:sz w:val="21"/>
                <w:szCs w:val="28"/>
                <w:lang w:val="en-US" w:eastAsia="zh-CN" w:bidi="ar-SA"/>
              </w:rPr>
            </w:pPr>
            <w:r>
              <w:rPr>
                <w:rFonts w:hint="eastAsia" w:cs="Times New Roman"/>
                <w:kern w:val="0"/>
                <w:sz w:val="21"/>
                <w:szCs w:val="28"/>
                <w:lang w:val="en-US" w:eastAsia="zh-CN" w:bidi="ar-SA"/>
              </w:rPr>
              <w:t>173</w:t>
            </w:r>
            <w:r>
              <w:rPr>
                <w:rFonts w:hint="eastAsia" w:ascii="Times New Roman" w:hAnsi="Times New Roman" w:eastAsia="宋体" w:cs="Times New Roman"/>
                <w:kern w:val="0"/>
                <w:sz w:val="21"/>
                <w:szCs w:val="28"/>
                <w:lang w:val="en-US" w:eastAsia="zh-CN" w:bidi="ar-SA"/>
              </w:rPr>
              <w:t>组</w:t>
            </w:r>
          </w:p>
        </w:tc>
      </w:tr>
    </w:tbl>
    <w:p>
      <w:pPr>
        <w:pStyle w:val="2"/>
        <w:keepNext w:val="0"/>
        <w:keepLines w:val="0"/>
        <w:numPr>
          <w:ilvl w:val="0"/>
          <w:numId w:val="2"/>
        </w:numPr>
        <w:spacing w:before="0" w:after="0" w:line="720" w:lineRule="auto"/>
        <w:jc w:val="left"/>
        <w:rPr>
          <w:rFonts w:eastAsia="黑体"/>
          <w:sz w:val="28"/>
        </w:rPr>
      </w:pPr>
      <w:bookmarkStart w:id="13" w:name="_Toc10468508"/>
      <w:r>
        <w:rPr>
          <w:rFonts w:hint="eastAsia" w:eastAsia="黑体"/>
          <w:sz w:val="28"/>
        </w:rPr>
        <w:t>场地环境与工程地质条件</w:t>
      </w:r>
      <w:bookmarkEnd w:id="13"/>
    </w:p>
    <w:p>
      <w:pPr>
        <w:pStyle w:val="3"/>
        <w:keepNext w:val="0"/>
        <w:keepLines w:val="0"/>
        <w:numPr>
          <w:ilvl w:val="1"/>
          <w:numId w:val="2"/>
        </w:numPr>
        <w:spacing w:before="0" w:after="0" w:line="480" w:lineRule="auto"/>
        <w:ind w:left="0"/>
        <w:jc w:val="left"/>
        <w:rPr>
          <w:rFonts w:ascii="Times New Roman" w:hAnsi="Times New Roman" w:eastAsia="黑体" w:cstheme="majorBidi"/>
          <w:sz w:val="28"/>
        </w:rPr>
      </w:pPr>
      <w:bookmarkStart w:id="14" w:name="_Toc10468509"/>
      <w:r>
        <w:rPr>
          <w:rFonts w:hint="eastAsia" w:ascii="Times New Roman" w:hAnsi="Times New Roman" w:eastAsia="黑体" w:cstheme="majorBidi"/>
          <w:sz w:val="28"/>
        </w:rPr>
        <w:t>区域地质背景</w:t>
      </w:r>
      <w:bookmarkEnd w:id="14"/>
    </w:p>
    <w:p>
      <w:pPr>
        <w:spacing w:line="360" w:lineRule="auto"/>
        <w:ind w:firstLine="480" w:firstLineChars="200"/>
        <w:rPr>
          <w:sz w:val="24"/>
        </w:rPr>
      </w:pPr>
      <w:r>
        <w:rPr>
          <w:rFonts w:hint="eastAsia"/>
          <w:sz w:val="24"/>
        </w:rPr>
        <w:t>长春市位于松辽凹陷的东部边缘，古生代时期的沉积物较少，局部有二叠纪地层出露，在中生代地台下降，属吉黑准地槽，长春～九台凸起，在东部山区有侏罗纪的沉积层。长春基岩有白垩纪泥岩和砂岩交互陆相沉积，第四纪中更新世有长白山岩浆活动。</w:t>
      </w:r>
    </w:p>
    <w:p>
      <w:pPr>
        <w:spacing w:line="360" w:lineRule="auto"/>
        <w:ind w:firstLine="480" w:firstLineChars="200"/>
        <w:rPr>
          <w:sz w:val="24"/>
        </w:rPr>
      </w:pPr>
      <w:r>
        <w:rPr>
          <w:rFonts w:hint="eastAsia"/>
          <w:sz w:val="24"/>
        </w:rPr>
        <w:t>长春市城区区域地貌属于松辽平原东部高平原地貌，总的地势由东南向西北逐渐降低，地面海拔</w:t>
      </w:r>
      <w:r>
        <w:rPr>
          <w:sz w:val="24"/>
        </w:rPr>
        <w:t>189.00~306.80m</w:t>
      </w:r>
      <w:r>
        <w:rPr>
          <w:rFonts w:hint="eastAsia"/>
          <w:sz w:val="24"/>
        </w:rPr>
        <w:t>，可分为伊通河河谷冲积阶地、冲积洪积波状台地和剥蚀丘陵。</w:t>
      </w:r>
    </w:p>
    <w:p>
      <w:pPr>
        <w:spacing w:line="360" w:lineRule="auto"/>
        <w:ind w:firstLine="480" w:firstLineChars="200"/>
        <w:rPr>
          <w:sz w:val="24"/>
        </w:rPr>
      </w:pPr>
      <w:r>
        <w:rPr>
          <w:rFonts w:hint="eastAsia"/>
          <w:sz w:val="24"/>
        </w:rPr>
        <w:t>冲积河谷阶地：海拔高度</w:t>
      </w:r>
      <w:r>
        <w:rPr>
          <w:sz w:val="24"/>
        </w:rPr>
        <w:t>189.00~205.00m。</w:t>
      </w:r>
      <w:r>
        <w:rPr>
          <w:rFonts w:hint="eastAsia"/>
          <w:sz w:val="24"/>
        </w:rPr>
        <w:t>主要由伊通河一级阶地构成，高出河床</w:t>
      </w:r>
      <w:r>
        <w:rPr>
          <w:sz w:val="24"/>
        </w:rPr>
        <w:t>2~3m</w:t>
      </w:r>
      <w:r>
        <w:rPr>
          <w:rFonts w:hint="eastAsia"/>
          <w:sz w:val="24"/>
        </w:rPr>
        <w:t>。阶地由全新统黏性土和砂砾石组成二元结构。阶地东宽西窄，除人工开挖造成的坑塘沟渠外，大部分地段表面平坦，微向河床和下游倾斜，地面纵向坡度0.4‰，横向坡度1.25‰。东侧阶地后缘与冲积、洪积波状台地相连。河漫滩不发育。</w:t>
      </w:r>
    </w:p>
    <w:p>
      <w:pPr>
        <w:spacing w:line="360" w:lineRule="auto"/>
        <w:ind w:firstLine="480" w:firstLineChars="200"/>
        <w:rPr>
          <w:sz w:val="24"/>
        </w:rPr>
      </w:pPr>
      <w:r>
        <w:rPr>
          <w:rFonts w:hint="eastAsia"/>
          <w:sz w:val="24"/>
        </w:rPr>
        <w:t>冲积洪积波状台地：主要分布于伊通河西岸，海波高度</w:t>
      </w:r>
      <w:r>
        <w:rPr>
          <w:sz w:val="24"/>
        </w:rPr>
        <w:t>205.00~230.00m</w:t>
      </w:r>
      <w:r>
        <w:rPr>
          <w:rFonts w:hint="eastAsia"/>
          <w:sz w:val="24"/>
        </w:rPr>
        <w:t>，表层为中更新统黄土状粉质黏土，下部为黏土，局部为砂砾石，第四系总厚度约为</w:t>
      </w:r>
      <w:r>
        <w:rPr>
          <w:sz w:val="24"/>
        </w:rPr>
        <w:t>15.0~28.0m，</w:t>
      </w:r>
      <w:r>
        <w:rPr>
          <w:rFonts w:hint="eastAsia"/>
          <w:sz w:val="24"/>
        </w:rPr>
        <w:t>个别地区大于30.0m。地面呈波状起伏，波峰与波谷相对高差一般为</w:t>
      </w:r>
      <w:r>
        <w:rPr>
          <w:sz w:val="24"/>
        </w:rPr>
        <w:t>10.0~15.0m，</w:t>
      </w:r>
      <w:r>
        <w:rPr>
          <w:rFonts w:hint="eastAsia"/>
          <w:sz w:val="24"/>
        </w:rPr>
        <w:t>波峰呈北东-南西走向，波谷较宽。</w:t>
      </w:r>
    </w:p>
    <w:p>
      <w:pPr>
        <w:spacing w:line="360" w:lineRule="auto"/>
        <w:ind w:firstLine="480" w:firstLineChars="200"/>
      </w:pPr>
      <w:r>
        <w:rPr>
          <w:rFonts w:hint="eastAsia"/>
          <w:sz w:val="24"/>
        </w:rPr>
        <w:t>仅在东南部边缘局部有侏罗纪地层组成的剥蚀丘陵，地面海波高度230.0~306.8m，面</w:t>
      </w:r>
      <w:r>
        <w:rPr>
          <w:sz w:val="24"/>
        </w:rPr>
        <w:t>积约5k㎡。</w:t>
      </w:r>
    </w:p>
    <w:p>
      <w:pPr>
        <w:pStyle w:val="3"/>
        <w:keepNext w:val="0"/>
        <w:keepLines w:val="0"/>
        <w:numPr>
          <w:ilvl w:val="1"/>
          <w:numId w:val="2"/>
        </w:numPr>
        <w:spacing w:before="0" w:after="0" w:line="480" w:lineRule="auto"/>
        <w:ind w:left="0"/>
        <w:jc w:val="left"/>
        <w:rPr>
          <w:rFonts w:ascii="Times New Roman" w:hAnsi="Times New Roman" w:eastAsia="黑体" w:cstheme="majorBidi"/>
          <w:sz w:val="28"/>
        </w:rPr>
      </w:pPr>
      <w:bookmarkStart w:id="15" w:name="_Toc10468510"/>
      <w:r>
        <w:rPr>
          <w:rFonts w:hint="eastAsia" w:ascii="Times New Roman" w:hAnsi="Times New Roman" w:eastAsia="黑体" w:cstheme="majorBidi"/>
          <w:sz w:val="28"/>
        </w:rPr>
        <w:t>区域地质构造</w:t>
      </w:r>
      <w:bookmarkEnd w:id="15"/>
    </w:p>
    <w:p>
      <w:pPr>
        <w:spacing w:line="360" w:lineRule="auto"/>
        <w:ind w:firstLine="480" w:firstLineChars="200"/>
        <w:rPr>
          <w:sz w:val="24"/>
        </w:rPr>
      </w:pPr>
      <w:bookmarkStart w:id="16" w:name="OLE_LINK45"/>
      <w:r>
        <w:rPr>
          <w:rFonts w:hint="eastAsia"/>
          <w:sz w:val="24"/>
        </w:rPr>
        <w:t>场区位于吉黑褶皱系（Ⅰ级），松辽中断馅（Ⅱ级）之东南隆起（Ⅲ级）带的东部边缘之九台长春凸起（Ⅳ级）的东南部。与吉黑褶皱系吉林优地槽褶皱带之NE向展布的依兰～伊通断陷相邻。区内单斜构造为主，倾向NE，倾角1～30ºNE，NW及NS向线形构造发育。</w:t>
      </w:r>
    </w:p>
    <w:bookmarkEnd w:id="16"/>
    <w:p>
      <w:pPr>
        <w:spacing w:line="360" w:lineRule="auto"/>
        <w:ind w:firstLine="480" w:firstLineChars="200"/>
        <w:rPr>
          <w:rFonts w:hAnsi="宋体"/>
          <w:b/>
          <w:bCs/>
        </w:rPr>
      </w:pPr>
      <w:r>
        <w:rPr>
          <w:rFonts w:hint="eastAsia"/>
          <w:sz w:val="24"/>
        </w:rPr>
        <w:t>根据长春市活动断裂探测资料，本区无全新活动断裂。</w:t>
      </w:r>
    </w:p>
    <w:p>
      <w:pPr>
        <w:pStyle w:val="3"/>
        <w:keepNext w:val="0"/>
        <w:keepLines w:val="0"/>
        <w:numPr>
          <w:ilvl w:val="1"/>
          <w:numId w:val="2"/>
        </w:numPr>
        <w:spacing w:before="0" w:after="0" w:line="480" w:lineRule="auto"/>
        <w:ind w:left="0"/>
        <w:jc w:val="left"/>
      </w:pPr>
      <w:r>
        <w:rPr>
          <w:rFonts w:hint="eastAsia" w:ascii="Times New Roman" w:hAnsi="Times New Roman" w:eastAsia="黑体" w:cstheme="majorBidi"/>
          <w:sz w:val="28"/>
        </w:rPr>
        <w:t xml:space="preserve"> </w:t>
      </w:r>
      <w:bookmarkStart w:id="17" w:name="_Toc10468511"/>
      <w:r>
        <w:rPr>
          <w:rFonts w:hint="eastAsia" w:ascii="Times New Roman" w:hAnsi="Times New Roman" w:eastAsia="黑体" w:cstheme="majorBidi"/>
          <w:sz w:val="28"/>
        </w:rPr>
        <w:t>区域气候条件</w:t>
      </w:r>
      <w:bookmarkEnd w:id="17"/>
    </w:p>
    <w:p>
      <w:pPr>
        <w:spacing w:line="360" w:lineRule="auto"/>
        <w:ind w:firstLine="480" w:firstLineChars="200"/>
      </w:pPr>
      <w:r>
        <w:rPr>
          <w:rFonts w:hint="eastAsia"/>
          <w:sz w:val="24"/>
        </w:rPr>
        <w:t>长春的气候属中温带大陆性半湿润～半干旱季风气候，春季干旱多风，夏季炎热多雨，冬季寒冷干燥。年平均气温</w:t>
      </w:r>
      <w:r>
        <w:rPr>
          <w:sz w:val="24"/>
        </w:rPr>
        <w:t>4.1℃～4.9℃，7</w:t>
      </w:r>
      <w:r>
        <w:rPr>
          <w:rFonts w:hint="eastAsia"/>
          <w:sz w:val="24"/>
        </w:rPr>
        <w:t>月份平均气温</w:t>
      </w:r>
      <w:r>
        <w:rPr>
          <w:sz w:val="24"/>
        </w:rPr>
        <w:t>23℃</w:t>
      </w:r>
      <w:r>
        <w:rPr>
          <w:rFonts w:hint="eastAsia"/>
          <w:sz w:val="24"/>
        </w:rPr>
        <w:t>，</w:t>
      </w:r>
      <w:r>
        <w:rPr>
          <w:sz w:val="24"/>
        </w:rPr>
        <w:t>1</w:t>
      </w:r>
      <w:r>
        <w:rPr>
          <w:rFonts w:hint="eastAsia"/>
          <w:sz w:val="24"/>
        </w:rPr>
        <w:t>月份平均气温为零下</w:t>
      </w:r>
      <w:r>
        <w:rPr>
          <w:sz w:val="24"/>
        </w:rPr>
        <w:t>17℃</w:t>
      </w:r>
      <w:r>
        <w:rPr>
          <w:rFonts w:hint="eastAsia"/>
          <w:sz w:val="24"/>
        </w:rPr>
        <w:t>。冬季盛行偏西风，夏季盛行东南风，春季盛行西南风，风速季节变化明显，春季平均风速</w:t>
      </w:r>
      <w:r>
        <w:rPr>
          <w:sz w:val="24"/>
        </w:rPr>
        <w:t>3.9m/s</w:t>
      </w:r>
      <w:r>
        <w:rPr>
          <w:rFonts w:hint="eastAsia"/>
          <w:sz w:val="24"/>
        </w:rPr>
        <w:t>，最大风速</w:t>
      </w:r>
      <w:r>
        <w:rPr>
          <w:sz w:val="24"/>
        </w:rPr>
        <w:t>30m/s</w:t>
      </w:r>
      <w:r>
        <w:rPr>
          <w:rFonts w:hint="eastAsia"/>
          <w:sz w:val="24"/>
        </w:rPr>
        <w:t>。长春地区多年平均降水量</w:t>
      </w:r>
      <w:r>
        <w:rPr>
          <w:sz w:val="24"/>
        </w:rPr>
        <w:t>500～600㎜</w:t>
      </w:r>
      <w:r>
        <w:rPr>
          <w:rFonts w:hint="eastAsia"/>
          <w:sz w:val="24"/>
        </w:rPr>
        <w:t>，降水量不稳定，季节性变化大，年内降水量分配不均，汛期（</w:t>
      </w:r>
      <w:r>
        <w:rPr>
          <w:sz w:val="24"/>
        </w:rPr>
        <w:t>6～9</w:t>
      </w:r>
      <w:r>
        <w:rPr>
          <w:rFonts w:hint="eastAsia"/>
          <w:sz w:val="24"/>
        </w:rPr>
        <w:t>月份）降水量一般占全年降水量的</w:t>
      </w:r>
      <w:r>
        <w:rPr>
          <w:sz w:val="24"/>
        </w:rPr>
        <w:t>77%</w:t>
      </w:r>
      <w:r>
        <w:rPr>
          <w:rFonts w:hint="eastAsia"/>
          <w:sz w:val="24"/>
        </w:rPr>
        <w:t>，长春地区日照时数约</w:t>
      </w:r>
      <w:r>
        <w:rPr>
          <w:sz w:val="24"/>
        </w:rPr>
        <w:t>2637</w:t>
      </w:r>
      <w:r>
        <w:rPr>
          <w:rFonts w:hint="eastAsia"/>
          <w:sz w:val="24"/>
        </w:rPr>
        <w:t>小时。</w:t>
      </w:r>
    </w:p>
    <w:p>
      <w:pPr>
        <w:pStyle w:val="3"/>
        <w:keepNext w:val="0"/>
        <w:keepLines w:val="0"/>
        <w:numPr>
          <w:ilvl w:val="1"/>
          <w:numId w:val="2"/>
        </w:numPr>
        <w:spacing w:before="0" w:after="0" w:line="480" w:lineRule="auto"/>
        <w:ind w:left="0"/>
        <w:jc w:val="left"/>
        <w:rPr>
          <w:rFonts w:ascii="Times New Roman" w:hAnsi="Times New Roman" w:eastAsia="黑体" w:cstheme="majorBidi"/>
          <w:sz w:val="28"/>
        </w:rPr>
      </w:pPr>
      <w:bookmarkStart w:id="18" w:name="_Toc10468512"/>
      <w:r>
        <w:rPr>
          <w:rFonts w:hint="eastAsia" w:ascii="Times New Roman" w:hAnsi="Times New Roman" w:eastAsia="黑体" w:cstheme="majorBidi"/>
          <w:sz w:val="28"/>
        </w:rPr>
        <w:t>场地地形地貌条件</w:t>
      </w:r>
      <w:bookmarkEnd w:id="18"/>
    </w:p>
    <w:p>
      <w:pPr>
        <w:spacing w:line="360" w:lineRule="auto"/>
        <w:ind w:firstLine="480" w:firstLineChars="200"/>
        <w:rPr>
          <w:sz w:val="24"/>
        </w:rPr>
      </w:pPr>
      <w:r>
        <w:rPr>
          <w:rFonts w:hint="eastAsia"/>
          <w:sz w:val="24"/>
        </w:rPr>
        <w:t>场地地貌为伊通河一级阶地。</w:t>
      </w:r>
    </w:p>
    <w:p>
      <w:pPr>
        <w:spacing w:line="360" w:lineRule="auto"/>
        <w:ind w:firstLine="480" w:firstLineChars="200"/>
        <w:rPr>
          <w:sz w:val="24"/>
        </w:rPr>
      </w:pPr>
      <w:r>
        <w:rPr>
          <w:rFonts w:hint="eastAsia"/>
          <w:sz w:val="24"/>
        </w:rPr>
        <w:t>勘察时场地平坦开阔，</w:t>
      </w:r>
      <w:r>
        <w:rPr>
          <w:rFonts w:hint="eastAsia"/>
          <w:sz w:val="24"/>
          <w:lang w:eastAsia="zh-CN"/>
        </w:rPr>
        <w:t>东侧</w:t>
      </w:r>
      <w:r>
        <w:rPr>
          <w:rFonts w:hint="eastAsia"/>
          <w:sz w:val="24"/>
        </w:rPr>
        <w:t>地形起伏较小，</w:t>
      </w:r>
      <w:r>
        <w:rPr>
          <w:rFonts w:hint="eastAsia"/>
          <w:sz w:val="24"/>
          <w:lang w:eastAsia="zh-CN"/>
        </w:rPr>
        <w:t>西</w:t>
      </w:r>
      <w:r>
        <w:rPr>
          <w:rFonts w:hint="eastAsia"/>
          <w:sz w:val="24"/>
        </w:rPr>
        <w:t>侧地形起伏</w:t>
      </w:r>
      <w:r>
        <w:rPr>
          <w:rFonts w:hint="eastAsia"/>
          <w:sz w:val="24"/>
          <w:lang w:eastAsia="zh-CN"/>
        </w:rPr>
        <w:t>稍</w:t>
      </w:r>
      <w:r>
        <w:rPr>
          <w:rFonts w:hint="eastAsia"/>
          <w:sz w:val="24"/>
        </w:rPr>
        <w:t>大，场地标高变化较大，孔口高程最大值为</w:t>
      </w:r>
      <w:r>
        <w:rPr>
          <w:rFonts w:hint="eastAsia"/>
          <w:sz w:val="24"/>
          <w:lang w:val="en-US" w:eastAsia="zh-CN"/>
        </w:rPr>
        <w:t>207.64</w:t>
      </w:r>
      <w:r>
        <w:rPr>
          <w:sz w:val="24"/>
        </w:rPr>
        <w:t>m</w:t>
      </w:r>
      <w:r>
        <w:rPr>
          <w:rFonts w:hint="eastAsia"/>
          <w:sz w:val="24"/>
        </w:rPr>
        <w:t>，孔口高程最小值为</w:t>
      </w:r>
      <w:r>
        <w:rPr>
          <w:rFonts w:hint="eastAsia"/>
          <w:sz w:val="24"/>
          <w:lang w:val="en-US" w:eastAsia="zh-CN"/>
        </w:rPr>
        <w:t>203.36</w:t>
      </w:r>
      <w:r>
        <w:rPr>
          <w:sz w:val="24"/>
        </w:rPr>
        <w:t>m</w:t>
      </w:r>
      <w:r>
        <w:rPr>
          <w:rFonts w:hint="eastAsia"/>
          <w:sz w:val="24"/>
        </w:rPr>
        <w:t>，最大高差</w:t>
      </w:r>
      <w:r>
        <w:rPr>
          <w:rFonts w:hint="eastAsia"/>
          <w:sz w:val="24"/>
          <w:lang w:val="en-US" w:eastAsia="zh-CN"/>
        </w:rPr>
        <w:t>4.28</w:t>
      </w:r>
      <w:r>
        <w:rPr>
          <w:sz w:val="24"/>
        </w:rPr>
        <w:t>m</w:t>
      </w:r>
      <w:r>
        <w:rPr>
          <w:rFonts w:hint="eastAsia"/>
          <w:sz w:val="24"/>
        </w:rPr>
        <w:t>。</w:t>
      </w:r>
    </w:p>
    <w:p>
      <w:pPr>
        <w:spacing w:line="360" w:lineRule="auto"/>
        <w:ind w:firstLine="480" w:firstLineChars="200"/>
        <w:rPr>
          <w:color w:val="000000"/>
        </w:rPr>
      </w:pPr>
      <w:r>
        <w:rPr>
          <w:rFonts w:hint="eastAsia"/>
          <w:sz w:val="24"/>
        </w:rPr>
        <w:t>由于场地条件限制，部分勘探孔位置有所偏移。</w:t>
      </w:r>
    </w:p>
    <w:p>
      <w:pPr>
        <w:pStyle w:val="3"/>
        <w:keepNext w:val="0"/>
        <w:keepLines w:val="0"/>
        <w:numPr>
          <w:ilvl w:val="1"/>
          <w:numId w:val="2"/>
        </w:numPr>
        <w:spacing w:before="0" w:after="0" w:line="480" w:lineRule="auto"/>
        <w:ind w:left="0"/>
        <w:jc w:val="left"/>
        <w:rPr>
          <w:rFonts w:ascii="Times New Roman" w:hAnsi="Times New Roman" w:eastAsia="黑体" w:cstheme="majorBidi"/>
          <w:sz w:val="28"/>
        </w:rPr>
      </w:pPr>
      <w:bookmarkStart w:id="19" w:name="_Toc10468513"/>
      <w:r>
        <w:rPr>
          <w:rFonts w:hint="eastAsia" w:ascii="Times New Roman" w:hAnsi="Times New Roman" w:eastAsia="黑体" w:cstheme="majorBidi"/>
          <w:sz w:val="28"/>
        </w:rPr>
        <w:t>不良地质作用及地质灾害</w:t>
      </w:r>
      <w:bookmarkEnd w:id="19"/>
    </w:p>
    <w:p>
      <w:pPr>
        <w:spacing w:line="360" w:lineRule="auto"/>
        <w:ind w:firstLine="420" w:firstLineChars="200"/>
        <w:rPr>
          <w:color w:val="000000"/>
        </w:rPr>
      </w:pPr>
      <w:r>
        <w:rPr>
          <w:rFonts w:hint="eastAsia"/>
          <w:color w:val="000000"/>
        </w:rPr>
        <w:t xml:space="preserve">  </w:t>
      </w:r>
      <w:r>
        <w:rPr>
          <w:rFonts w:hint="eastAsia"/>
          <w:sz w:val="24"/>
        </w:rPr>
        <w:t>本场地无滑坡、崩塌、岩溶、泥石流、采空区等不良地质现象。</w:t>
      </w:r>
    </w:p>
    <w:p>
      <w:pPr>
        <w:pStyle w:val="3"/>
        <w:keepNext w:val="0"/>
        <w:keepLines w:val="0"/>
        <w:numPr>
          <w:ilvl w:val="1"/>
          <w:numId w:val="2"/>
        </w:numPr>
        <w:spacing w:before="0" w:after="0" w:line="480" w:lineRule="auto"/>
        <w:ind w:left="0"/>
        <w:jc w:val="left"/>
        <w:rPr>
          <w:rFonts w:ascii="Times New Roman" w:hAnsi="Times New Roman" w:eastAsia="黑体" w:cstheme="majorBidi"/>
          <w:sz w:val="28"/>
        </w:rPr>
      </w:pPr>
      <w:bookmarkStart w:id="20" w:name="_Toc10468514"/>
      <w:r>
        <w:rPr>
          <w:rFonts w:hint="eastAsia" w:ascii="Times New Roman" w:hAnsi="Times New Roman" w:eastAsia="黑体" w:cstheme="majorBidi"/>
          <w:sz w:val="28"/>
        </w:rPr>
        <w:t>地层岩性及分布特征</w:t>
      </w:r>
      <w:bookmarkEnd w:id="20"/>
    </w:p>
    <w:p>
      <w:pPr>
        <w:spacing w:line="360" w:lineRule="auto"/>
        <w:ind w:firstLine="480" w:firstLineChars="200"/>
        <w:rPr>
          <w:sz w:val="24"/>
        </w:rPr>
      </w:pPr>
      <w:r>
        <w:rPr>
          <w:sz w:val="24"/>
        </w:rPr>
        <w:t>本项目勘察的最大深度</w:t>
      </w:r>
      <w:r>
        <w:rPr>
          <w:rFonts w:hint="eastAsia"/>
          <w:sz w:val="24"/>
          <w:lang w:val="en-US" w:eastAsia="zh-CN"/>
        </w:rPr>
        <w:t>26.3</w:t>
      </w:r>
      <w:r>
        <w:rPr>
          <w:sz w:val="24"/>
        </w:rPr>
        <w:t>m，根据本次勘察的钻探资料、</w:t>
      </w:r>
      <w:r>
        <w:rPr>
          <w:rFonts w:hint="eastAsia"/>
          <w:sz w:val="24"/>
        </w:rPr>
        <w:t>标准贯入试验等</w:t>
      </w:r>
      <w:r>
        <w:rPr>
          <w:sz w:val="24"/>
        </w:rPr>
        <w:t>原位测试成果，结合室内土工试验成果综合判定，场区内地层自上而下依次为：</w:t>
      </w:r>
      <w:r>
        <w:rPr>
          <w:rFonts w:hint="eastAsia"/>
          <w:sz w:val="24"/>
        </w:rPr>
        <w:t>①</w:t>
      </w:r>
      <w:r>
        <w:rPr>
          <w:rFonts w:hint="eastAsia"/>
          <w:sz w:val="24"/>
          <w:lang w:eastAsia="zh-CN"/>
        </w:rPr>
        <w:t>杂</w:t>
      </w:r>
      <w:r>
        <w:rPr>
          <w:rFonts w:hint="eastAsia"/>
          <w:sz w:val="24"/>
        </w:rPr>
        <w:t>填土</w:t>
      </w:r>
      <w:r>
        <w:rPr>
          <w:sz w:val="24"/>
        </w:rPr>
        <w:t>、</w:t>
      </w:r>
      <w:r>
        <w:rPr>
          <w:rFonts w:hint="eastAsia"/>
          <w:sz w:val="24"/>
        </w:rPr>
        <w:t>②</w:t>
      </w:r>
      <w:r>
        <w:rPr>
          <w:sz w:val="24"/>
        </w:rPr>
        <w:t>粉质</w:t>
      </w:r>
      <w:r>
        <w:rPr>
          <w:rFonts w:hint="eastAsia"/>
          <w:sz w:val="24"/>
        </w:rPr>
        <w:t>黏土</w:t>
      </w:r>
      <w:r>
        <w:rPr>
          <w:sz w:val="24"/>
        </w:rPr>
        <w:t>、</w:t>
      </w:r>
      <w:r>
        <w:rPr>
          <w:rFonts w:hint="eastAsia"/>
          <w:sz w:val="24"/>
        </w:rPr>
        <w:t>③粉质黏土、④</w:t>
      </w:r>
      <w:r>
        <w:rPr>
          <w:rFonts w:hint="eastAsia"/>
          <w:sz w:val="24"/>
          <w:lang w:eastAsia="zh-CN"/>
        </w:rPr>
        <w:t>粗</w:t>
      </w:r>
      <w:r>
        <w:rPr>
          <w:rFonts w:hint="eastAsia"/>
          <w:sz w:val="24"/>
        </w:rPr>
        <w:t>砂、⑤</w:t>
      </w:r>
      <w:r>
        <w:rPr>
          <w:rFonts w:hint="eastAsia"/>
          <w:sz w:val="24"/>
          <w:lang w:eastAsia="zh-CN"/>
        </w:rPr>
        <w:t>全风化砂质泥岩</w:t>
      </w:r>
      <w:r>
        <w:rPr>
          <w:rFonts w:hint="eastAsia"/>
          <w:sz w:val="24"/>
        </w:rPr>
        <w:t>、⑥</w:t>
      </w:r>
      <w:r>
        <w:rPr>
          <w:rFonts w:hint="eastAsia"/>
          <w:sz w:val="24"/>
          <w:lang w:eastAsia="zh-CN"/>
        </w:rPr>
        <w:t>强风化砂质泥岩</w:t>
      </w:r>
      <w:r>
        <w:rPr>
          <w:rFonts w:hint="eastAsia"/>
          <w:sz w:val="24"/>
        </w:rPr>
        <w:t>、⑦</w:t>
      </w:r>
      <w:r>
        <w:rPr>
          <w:rFonts w:hint="eastAsia"/>
          <w:sz w:val="24"/>
          <w:lang w:eastAsia="zh-CN"/>
        </w:rPr>
        <w:t>中等风化砂质泥岩</w:t>
      </w:r>
      <w:r>
        <w:rPr>
          <w:sz w:val="24"/>
        </w:rPr>
        <w:t>。各岩土层的性质具体描述如下：</w:t>
      </w:r>
    </w:p>
    <w:p>
      <w:pPr>
        <w:widowControl/>
        <w:spacing w:line="360" w:lineRule="auto"/>
        <w:ind w:firstLine="480" w:firstLineChars="200"/>
        <w:jc w:val="left"/>
        <w:rPr>
          <w:sz w:val="24"/>
        </w:rPr>
      </w:pPr>
      <w:r>
        <w:rPr>
          <w:sz w:val="24"/>
        </w:rPr>
        <w:t>第</w:t>
      </w:r>
      <w:r>
        <w:rPr>
          <w:rFonts w:hint="eastAsia"/>
          <w:sz w:val="24"/>
        </w:rPr>
        <w:t>①</w:t>
      </w:r>
      <w:r>
        <w:rPr>
          <w:sz w:val="24"/>
        </w:rPr>
        <w:t>层</w:t>
      </w:r>
      <w:r>
        <w:rPr>
          <w:rFonts w:hint="eastAsia"/>
          <w:sz w:val="24"/>
        </w:rPr>
        <w:t xml:space="preserve"> </w:t>
      </w:r>
      <w:r>
        <w:rPr>
          <w:rFonts w:hint="eastAsia"/>
          <w:sz w:val="24"/>
          <w:lang w:eastAsia="zh-CN"/>
        </w:rPr>
        <w:t>杂</w:t>
      </w:r>
      <w:r>
        <w:rPr>
          <w:rFonts w:hint="eastAsia"/>
          <w:sz w:val="24"/>
        </w:rPr>
        <w:t xml:space="preserve"> 填 土</w:t>
      </w:r>
      <w:r>
        <w:rPr>
          <w:sz w:val="24"/>
        </w:rPr>
        <w:t>：</w:t>
      </w:r>
      <w:r>
        <w:rPr>
          <w:rFonts w:hint="eastAsia"/>
          <w:sz w:val="24"/>
          <w:lang w:eastAsia="zh-CN"/>
        </w:rPr>
        <w:t>杂</w:t>
      </w:r>
      <w:r>
        <w:rPr>
          <w:rFonts w:hint="eastAsia"/>
          <w:sz w:val="24"/>
        </w:rPr>
        <w:t>色，主要成分为黏性土、含较多植物根系、</w:t>
      </w:r>
      <w:r>
        <w:rPr>
          <w:rFonts w:hint="eastAsia"/>
          <w:sz w:val="24"/>
          <w:lang w:eastAsia="zh-CN"/>
        </w:rPr>
        <w:t>局部位置有</w:t>
      </w:r>
      <w:r>
        <w:rPr>
          <w:rFonts w:hint="eastAsia"/>
          <w:sz w:val="24"/>
        </w:rPr>
        <w:t>少量碎砖、砼块等，结构松散</w:t>
      </w:r>
      <w:r>
        <w:rPr>
          <w:sz w:val="24"/>
        </w:rPr>
        <w:t>。</w:t>
      </w:r>
      <w:r>
        <w:rPr>
          <w:rFonts w:hint="eastAsia"/>
          <w:sz w:val="24"/>
        </w:rPr>
        <w:t>此层土为新近回填土，自重固结尚未完成，</w:t>
      </w:r>
      <w:r>
        <w:rPr>
          <w:sz w:val="24"/>
        </w:rPr>
        <w:t>稍湿，</w:t>
      </w:r>
      <w:r>
        <w:rPr>
          <w:rFonts w:hint="eastAsia"/>
          <w:sz w:val="24"/>
        </w:rPr>
        <w:t>松散-稍密状态</w:t>
      </w:r>
      <w:r>
        <w:rPr>
          <w:sz w:val="24"/>
        </w:rPr>
        <w:t>。</w:t>
      </w:r>
      <w:r>
        <w:rPr>
          <w:rFonts w:hint="eastAsia"/>
          <w:sz w:val="24"/>
        </w:rPr>
        <w:t>层厚</w:t>
      </w:r>
      <w:r>
        <w:rPr>
          <w:rFonts w:hint="eastAsia"/>
          <w:sz w:val="24"/>
          <w:lang w:val="en-US" w:eastAsia="zh-CN"/>
        </w:rPr>
        <w:t>0.3</w:t>
      </w:r>
      <w:r>
        <w:rPr>
          <w:rFonts w:hint="eastAsia"/>
          <w:sz w:val="24"/>
        </w:rPr>
        <w:t>0-</w:t>
      </w:r>
      <w:r>
        <w:rPr>
          <w:rFonts w:hint="eastAsia"/>
          <w:sz w:val="24"/>
          <w:lang w:val="en-US" w:eastAsia="zh-CN"/>
        </w:rPr>
        <w:t>2.8</w:t>
      </w:r>
      <w:r>
        <w:rPr>
          <w:rFonts w:hint="eastAsia"/>
          <w:sz w:val="24"/>
        </w:rPr>
        <w:t>0m。</w:t>
      </w:r>
    </w:p>
    <w:p>
      <w:pPr>
        <w:spacing w:line="360" w:lineRule="auto"/>
        <w:ind w:firstLine="480" w:firstLineChars="200"/>
        <w:rPr>
          <w:sz w:val="24"/>
        </w:rPr>
      </w:pPr>
      <w:r>
        <w:rPr>
          <w:rFonts w:hint="eastAsia"/>
          <w:sz w:val="24"/>
        </w:rPr>
        <w:t>第②层 粉质黏土</w:t>
      </w:r>
      <w:r>
        <w:rPr>
          <w:sz w:val="24"/>
        </w:rPr>
        <w:t>：</w:t>
      </w:r>
      <w:r>
        <w:rPr>
          <w:rFonts w:ascii="Times New Roman" w:hAnsi="Times New Roman" w:cs="Times New Roman"/>
          <w:sz w:val="24"/>
          <w:szCs w:val="32"/>
        </w:rPr>
        <w:t>褐黄色</w:t>
      </w:r>
      <w:r>
        <w:rPr>
          <w:rFonts w:hint="eastAsia" w:ascii="Times New Roman" w:hAnsi="Times New Roman" w:cs="Times New Roman"/>
          <w:sz w:val="24"/>
          <w:szCs w:val="32"/>
          <w:lang w:eastAsia="zh-CN"/>
        </w:rPr>
        <w:t>、灰黄色</w:t>
      </w:r>
      <w:r>
        <w:rPr>
          <w:rFonts w:ascii="Times New Roman" w:hAnsi="Times New Roman" w:cs="Times New Roman"/>
          <w:sz w:val="24"/>
          <w:szCs w:val="32"/>
        </w:rPr>
        <w:t>，可塑偏软状态，</w:t>
      </w:r>
      <w:r>
        <w:rPr>
          <w:rFonts w:hint="eastAsia" w:ascii="Times New Roman" w:hAnsi="Times New Roman" w:cs="Times New Roman"/>
          <w:sz w:val="24"/>
          <w:szCs w:val="32"/>
          <w:lang w:eastAsia="zh-CN"/>
        </w:rPr>
        <w:t>中</w:t>
      </w:r>
      <w:r>
        <w:rPr>
          <w:rFonts w:ascii="Times New Roman" w:hAnsi="Times New Roman" w:cs="Times New Roman"/>
          <w:sz w:val="24"/>
          <w:szCs w:val="32"/>
        </w:rPr>
        <w:t>压缩性</w:t>
      </w:r>
      <w:r>
        <w:rPr>
          <w:rFonts w:hint="eastAsia"/>
          <w:sz w:val="24"/>
        </w:rPr>
        <w:t>，</w:t>
      </w:r>
      <w:r>
        <w:rPr>
          <w:rFonts w:hint="eastAsia" w:ascii="Times New Roman" w:hAnsi="Times New Roman" w:cs="Times New Roman"/>
          <w:sz w:val="24"/>
          <w:lang w:val="zh-CN" w:eastAsia="zh-CN"/>
        </w:rPr>
        <w:t>干强度中等、韧性中等，无摇振反应，切面稍有光泽。</w:t>
      </w:r>
      <w:r>
        <w:rPr>
          <w:rFonts w:hint="eastAsia"/>
          <w:sz w:val="24"/>
        </w:rPr>
        <w:t>层厚</w:t>
      </w:r>
      <w:r>
        <w:rPr>
          <w:rFonts w:hint="eastAsia"/>
          <w:sz w:val="24"/>
          <w:lang w:val="en-US" w:eastAsia="zh-CN"/>
        </w:rPr>
        <w:t>0.40</w:t>
      </w:r>
      <w:r>
        <w:rPr>
          <w:rFonts w:hint="eastAsia"/>
          <w:sz w:val="24"/>
        </w:rPr>
        <w:t>-</w:t>
      </w:r>
      <w:r>
        <w:rPr>
          <w:rFonts w:hint="eastAsia"/>
          <w:sz w:val="24"/>
          <w:lang w:val="en-US" w:eastAsia="zh-CN"/>
        </w:rPr>
        <w:t>3.1</w:t>
      </w:r>
      <w:r>
        <w:rPr>
          <w:rFonts w:hint="eastAsia"/>
          <w:sz w:val="24"/>
        </w:rPr>
        <w:t>0m，层顶标高</w:t>
      </w:r>
      <w:r>
        <w:rPr>
          <w:rFonts w:hint="eastAsia"/>
          <w:sz w:val="24"/>
          <w:lang w:val="en-US" w:eastAsia="zh-CN"/>
        </w:rPr>
        <w:t>202.86</w:t>
      </w:r>
      <w:r>
        <w:rPr>
          <w:rFonts w:hint="eastAsia"/>
          <w:sz w:val="24"/>
        </w:rPr>
        <w:t>-</w:t>
      </w:r>
      <w:r>
        <w:rPr>
          <w:rFonts w:hint="eastAsia"/>
          <w:sz w:val="24"/>
          <w:lang w:val="en-US" w:eastAsia="zh-CN"/>
        </w:rPr>
        <w:t>206.36</w:t>
      </w:r>
      <w:r>
        <w:rPr>
          <w:rFonts w:hint="eastAsia"/>
          <w:sz w:val="24"/>
        </w:rPr>
        <w:t xml:space="preserve"> m。</w:t>
      </w:r>
    </w:p>
    <w:p>
      <w:pPr>
        <w:spacing w:line="360" w:lineRule="auto"/>
        <w:ind w:firstLine="480" w:firstLineChars="200"/>
        <w:rPr>
          <w:sz w:val="24"/>
        </w:rPr>
      </w:pPr>
      <w:r>
        <w:rPr>
          <w:rFonts w:hint="eastAsia"/>
          <w:sz w:val="24"/>
        </w:rPr>
        <w:t>第③层 粉质黏土</w:t>
      </w:r>
      <w:r>
        <w:rPr>
          <w:sz w:val="24"/>
        </w:rPr>
        <w:t>：</w:t>
      </w:r>
      <w:r>
        <w:rPr>
          <w:rFonts w:ascii="Times New Roman" w:hAnsi="Times New Roman" w:cs="Times New Roman"/>
          <w:sz w:val="24"/>
          <w:szCs w:val="32"/>
        </w:rPr>
        <w:t>灰黑色，</w:t>
      </w:r>
      <w:r>
        <w:rPr>
          <w:rFonts w:hint="eastAsia" w:cs="Times New Roman"/>
          <w:sz w:val="24"/>
          <w:szCs w:val="32"/>
          <w:lang w:eastAsia="zh-CN"/>
        </w:rPr>
        <w:t>灰黄色，</w:t>
      </w:r>
      <w:r>
        <w:rPr>
          <w:rFonts w:ascii="Times New Roman" w:hAnsi="Times New Roman" w:cs="Times New Roman"/>
          <w:sz w:val="24"/>
          <w:szCs w:val="32"/>
        </w:rPr>
        <w:t>软塑状态，局部含少量有机质，高压缩性</w:t>
      </w:r>
      <w:r>
        <w:rPr>
          <w:rFonts w:hint="eastAsia"/>
          <w:sz w:val="24"/>
        </w:rPr>
        <w:t>，</w:t>
      </w:r>
      <w:r>
        <w:rPr>
          <w:rFonts w:hint="eastAsia" w:ascii="Times New Roman" w:hAnsi="Times New Roman" w:cs="Times New Roman"/>
          <w:sz w:val="24"/>
          <w:lang w:val="zh-CN" w:eastAsia="zh-CN"/>
        </w:rPr>
        <w:t>干强度中等、韧性中等，无摇振反应，切面稍有光泽。</w:t>
      </w:r>
      <w:r>
        <w:rPr>
          <w:rFonts w:ascii="Times New Roman" w:hAnsi="Times New Roman" w:cs="Times New Roman"/>
          <w:sz w:val="24"/>
          <w:szCs w:val="32"/>
        </w:rPr>
        <w:t>该层底部局部夹有</w:t>
      </w:r>
      <w:r>
        <w:rPr>
          <w:rFonts w:hint="eastAsia" w:ascii="Times New Roman" w:hAnsi="Times New Roman" w:cs="Times New Roman"/>
          <w:sz w:val="24"/>
          <w:szCs w:val="32"/>
          <w:lang w:eastAsia="zh-CN"/>
        </w:rPr>
        <w:t>中</w:t>
      </w:r>
      <w:r>
        <w:rPr>
          <w:rFonts w:ascii="Times New Roman" w:hAnsi="Times New Roman" w:cs="Times New Roman"/>
          <w:sz w:val="24"/>
          <w:szCs w:val="32"/>
        </w:rPr>
        <w:t>砂颗粒</w:t>
      </w:r>
      <w:r>
        <w:rPr>
          <w:rFonts w:hint="eastAsia"/>
          <w:sz w:val="24"/>
        </w:rPr>
        <w:t>。</w:t>
      </w:r>
      <w:r>
        <w:rPr>
          <w:rFonts w:hint="eastAsia" w:cs="Times New Roman"/>
          <w:sz w:val="24"/>
          <w:lang w:val="zh-CN" w:eastAsia="zh-CN"/>
        </w:rPr>
        <w:t>该层局部缺失，</w:t>
      </w:r>
      <w:r>
        <w:rPr>
          <w:rFonts w:hint="eastAsia"/>
          <w:sz w:val="24"/>
        </w:rPr>
        <w:t>层厚0.</w:t>
      </w:r>
      <w:r>
        <w:rPr>
          <w:rFonts w:hint="eastAsia"/>
          <w:sz w:val="24"/>
          <w:lang w:val="en-US" w:eastAsia="zh-CN"/>
        </w:rPr>
        <w:t>3</w:t>
      </w:r>
      <w:r>
        <w:rPr>
          <w:rFonts w:hint="eastAsia"/>
          <w:sz w:val="24"/>
        </w:rPr>
        <w:t>0-</w:t>
      </w:r>
      <w:r>
        <w:rPr>
          <w:rFonts w:hint="eastAsia"/>
          <w:sz w:val="24"/>
          <w:lang w:val="en-US" w:eastAsia="zh-CN"/>
        </w:rPr>
        <w:t>4.1</w:t>
      </w:r>
      <w:r>
        <w:rPr>
          <w:rFonts w:hint="eastAsia"/>
          <w:sz w:val="24"/>
        </w:rPr>
        <w:t>0m，层顶标高</w:t>
      </w:r>
      <w:r>
        <w:rPr>
          <w:rFonts w:hint="eastAsia"/>
          <w:sz w:val="24"/>
          <w:lang w:val="en-US" w:eastAsia="zh-CN"/>
        </w:rPr>
        <w:t>201.49</w:t>
      </w:r>
      <w:r>
        <w:rPr>
          <w:rFonts w:hint="eastAsia"/>
          <w:sz w:val="24"/>
        </w:rPr>
        <w:t>-</w:t>
      </w:r>
      <w:r>
        <w:rPr>
          <w:rFonts w:hint="eastAsia"/>
          <w:sz w:val="24"/>
          <w:lang w:val="en-US" w:eastAsia="zh-CN"/>
        </w:rPr>
        <w:t>205.17</w:t>
      </w:r>
      <w:r>
        <w:rPr>
          <w:rFonts w:hint="eastAsia"/>
          <w:sz w:val="24"/>
        </w:rPr>
        <w:t>m。</w:t>
      </w:r>
    </w:p>
    <w:p>
      <w:pPr>
        <w:widowControl/>
        <w:spacing w:line="360" w:lineRule="auto"/>
        <w:ind w:firstLine="480" w:firstLineChars="200"/>
        <w:jc w:val="left"/>
        <w:rPr>
          <w:sz w:val="24"/>
        </w:rPr>
      </w:pPr>
      <w:r>
        <w:rPr>
          <w:rFonts w:hint="eastAsia"/>
          <w:sz w:val="24"/>
        </w:rPr>
        <w:t xml:space="preserve">第④层 </w:t>
      </w:r>
      <w:r>
        <w:rPr>
          <w:rFonts w:hint="eastAsia"/>
          <w:sz w:val="24"/>
          <w:lang w:eastAsia="zh-CN"/>
        </w:rPr>
        <w:t>粗</w:t>
      </w:r>
      <w:r>
        <w:rPr>
          <w:rFonts w:hint="eastAsia"/>
          <w:sz w:val="24"/>
        </w:rPr>
        <w:t>砂：灰白色，灰黄色，灰黑色，中密至密实状态，饱和，矿物成分为长石、石英，磨圆中等，分选差，级配较好，该层沉积韵律明显，上部颗粒较细，下部颗粒粗，该层上部不同深度内常夹泥质薄层，底部含少量</w:t>
      </w:r>
      <w:r>
        <w:rPr>
          <w:rFonts w:hint="eastAsia"/>
          <w:sz w:val="24"/>
          <w:lang w:eastAsia="zh-CN"/>
        </w:rPr>
        <w:t>砾砂</w:t>
      </w:r>
      <w:r>
        <w:rPr>
          <w:sz w:val="24"/>
        </w:rPr>
        <w:t>。层厚</w:t>
      </w:r>
      <w:r>
        <w:rPr>
          <w:rFonts w:hint="eastAsia"/>
          <w:sz w:val="24"/>
          <w:lang w:val="en-US" w:eastAsia="zh-CN"/>
        </w:rPr>
        <w:t>1.40</w:t>
      </w:r>
      <w:r>
        <w:rPr>
          <w:rFonts w:hint="eastAsia"/>
          <w:sz w:val="24"/>
        </w:rPr>
        <w:t>-</w:t>
      </w:r>
      <w:r>
        <w:rPr>
          <w:rFonts w:hint="eastAsia"/>
          <w:sz w:val="24"/>
          <w:lang w:val="en-US" w:eastAsia="zh-CN"/>
        </w:rPr>
        <w:t>4.7</w:t>
      </w:r>
      <w:r>
        <w:rPr>
          <w:rFonts w:hint="eastAsia"/>
          <w:sz w:val="24"/>
        </w:rPr>
        <w:t>0</w:t>
      </w:r>
      <w:r>
        <w:rPr>
          <w:sz w:val="24"/>
        </w:rPr>
        <w:t>m，层顶标高</w:t>
      </w:r>
      <w:r>
        <w:rPr>
          <w:rFonts w:hint="eastAsia"/>
          <w:sz w:val="24"/>
          <w:lang w:val="en-US" w:eastAsia="zh-CN"/>
        </w:rPr>
        <w:t>200.45</w:t>
      </w:r>
      <w:r>
        <w:rPr>
          <w:rFonts w:hint="eastAsia"/>
          <w:sz w:val="24"/>
        </w:rPr>
        <w:t>-</w:t>
      </w:r>
      <w:r>
        <w:rPr>
          <w:rFonts w:hint="eastAsia"/>
          <w:sz w:val="24"/>
          <w:lang w:val="en-US" w:eastAsia="zh-CN"/>
        </w:rPr>
        <w:t>203.87</w:t>
      </w:r>
      <w:r>
        <w:rPr>
          <w:sz w:val="24"/>
        </w:rPr>
        <w:t>m。</w:t>
      </w:r>
    </w:p>
    <w:p>
      <w:pPr>
        <w:spacing w:line="360" w:lineRule="auto"/>
        <w:ind w:firstLine="480" w:firstLineChars="200"/>
        <w:rPr>
          <w:sz w:val="24"/>
        </w:rPr>
      </w:pPr>
      <w:r>
        <w:rPr>
          <w:rFonts w:hint="eastAsia"/>
          <w:sz w:val="24"/>
        </w:rPr>
        <w:t xml:space="preserve">第⑤层 </w:t>
      </w:r>
      <w:r>
        <w:rPr>
          <w:rFonts w:hint="eastAsia"/>
          <w:sz w:val="24"/>
          <w:lang w:eastAsia="zh-CN"/>
        </w:rPr>
        <w:t>全风化砂质泥岩</w:t>
      </w:r>
      <w:r>
        <w:rPr>
          <w:rFonts w:hint="eastAsia"/>
          <w:sz w:val="24"/>
        </w:rPr>
        <w:t>：</w:t>
      </w:r>
      <w:r>
        <w:rPr>
          <w:rFonts w:ascii="Times New Roman" w:hAnsi="Times New Roman" w:cs="Times New Roman"/>
          <w:sz w:val="24"/>
          <w:szCs w:val="32"/>
        </w:rPr>
        <w:t>棕红色，灰色，全风化状态，干钻钻进较容易，结构基本破坏，胶结强度极差，岩芯呈硬塑粘土状，局部有</w:t>
      </w:r>
      <w:r>
        <w:rPr>
          <w:rFonts w:hint="eastAsia" w:ascii="Times New Roman" w:hAnsi="Times New Roman" w:cs="Times New Roman"/>
          <w:sz w:val="24"/>
          <w:szCs w:val="32"/>
          <w:lang w:eastAsia="zh-CN"/>
        </w:rPr>
        <w:t>粉红</w:t>
      </w:r>
      <w:r>
        <w:rPr>
          <w:rFonts w:ascii="Times New Roman" w:hAnsi="Times New Roman" w:cs="Times New Roman"/>
          <w:sz w:val="24"/>
          <w:szCs w:val="32"/>
        </w:rPr>
        <w:t>色、灰白色泥质砂岩夹层，夹层分布无规律，岩芯呈散砂状，主要矿物成分为长石、石英，泥质充填。该层属极软岩，岩体极破碎，岩体基本质量等级Ⅴ级，无洞穴、临空面，属软弱岩层</w:t>
      </w:r>
      <w:r>
        <w:rPr>
          <w:rFonts w:hint="eastAsia"/>
          <w:sz w:val="24"/>
        </w:rPr>
        <w:t>。层厚</w:t>
      </w:r>
      <w:r>
        <w:rPr>
          <w:rFonts w:hint="eastAsia"/>
          <w:sz w:val="24"/>
          <w:lang w:val="en-US" w:eastAsia="zh-CN"/>
        </w:rPr>
        <w:t>0.50</w:t>
      </w:r>
      <w:r>
        <w:rPr>
          <w:rFonts w:hint="eastAsia"/>
          <w:sz w:val="24"/>
        </w:rPr>
        <w:t>-</w:t>
      </w:r>
      <w:r>
        <w:rPr>
          <w:rFonts w:hint="eastAsia"/>
          <w:sz w:val="24"/>
          <w:lang w:val="en-US" w:eastAsia="zh-CN"/>
        </w:rPr>
        <w:t>2.7</w:t>
      </w:r>
      <w:r>
        <w:rPr>
          <w:rFonts w:hint="eastAsia"/>
          <w:sz w:val="24"/>
        </w:rPr>
        <w:t>0m，层顶标高1</w:t>
      </w:r>
      <w:r>
        <w:rPr>
          <w:rFonts w:hint="eastAsia"/>
          <w:sz w:val="24"/>
          <w:lang w:val="en-US" w:eastAsia="zh-CN"/>
        </w:rPr>
        <w:t>97.35</w:t>
      </w:r>
      <w:r>
        <w:rPr>
          <w:rFonts w:hint="eastAsia"/>
          <w:sz w:val="24"/>
        </w:rPr>
        <w:t>-</w:t>
      </w:r>
      <w:r>
        <w:rPr>
          <w:rFonts w:hint="eastAsia"/>
          <w:sz w:val="24"/>
          <w:lang w:val="en-US" w:eastAsia="zh-CN"/>
        </w:rPr>
        <w:t>201.17</w:t>
      </w:r>
      <w:r>
        <w:rPr>
          <w:rFonts w:hint="eastAsia"/>
          <w:sz w:val="24"/>
        </w:rPr>
        <w:t>m。</w:t>
      </w:r>
    </w:p>
    <w:p>
      <w:pPr>
        <w:spacing w:line="360" w:lineRule="auto"/>
        <w:ind w:firstLine="480" w:firstLineChars="200"/>
        <w:rPr>
          <w:sz w:val="24"/>
        </w:rPr>
      </w:pPr>
      <w:r>
        <w:rPr>
          <w:rFonts w:hint="eastAsia"/>
          <w:sz w:val="24"/>
        </w:rPr>
        <w:t xml:space="preserve">第⑥层 </w:t>
      </w:r>
      <w:r>
        <w:rPr>
          <w:rFonts w:hint="eastAsia"/>
          <w:sz w:val="24"/>
          <w:lang w:eastAsia="zh-CN"/>
        </w:rPr>
        <w:t>强风化砂质泥岩</w:t>
      </w:r>
      <w:r>
        <w:rPr>
          <w:rFonts w:hint="eastAsia"/>
          <w:sz w:val="24"/>
        </w:rPr>
        <w:t>：</w:t>
      </w:r>
      <w:r>
        <w:rPr>
          <w:rFonts w:ascii="Times New Roman" w:hAnsi="Times New Roman" w:cs="Times New Roman"/>
          <w:sz w:val="24"/>
          <w:szCs w:val="32"/>
        </w:rPr>
        <w:t>棕红色，灰色，强风化状态，干钻不易钻进，岩芯呈碎块状，胶结强度较差，局部有</w:t>
      </w:r>
      <w:r>
        <w:rPr>
          <w:rFonts w:hint="eastAsia" w:ascii="Times New Roman" w:hAnsi="Times New Roman" w:cs="Times New Roman"/>
          <w:sz w:val="24"/>
          <w:szCs w:val="32"/>
          <w:lang w:eastAsia="zh-CN"/>
        </w:rPr>
        <w:t>粉红</w:t>
      </w:r>
      <w:r>
        <w:rPr>
          <w:rFonts w:ascii="Times New Roman" w:hAnsi="Times New Roman" w:cs="Times New Roman"/>
          <w:sz w:val="24"/>
          <w:szCs w:val="32"/>
        </w:rPr>
        <w:t>色，红褐色、灰白色泥质砂岩夹层，夹层分布无规律，岩芯呈碎屑状，泥质胶结局部钙质胶结。该层属极软岩，岩体</w:t>
      </w:r>
      <w:r>
        <w:rPr>
          <w:rFonts w:hint="eastAsia" w:ascii="Times New Roman" w:hAnsi="Times New Roman" w:cs="Times New Roman"/>
          <w:sz w:val="24"/>
          <w:szCs w:val="32"/>
          <w:lang w:eastAsia="zh-CN"/>
        </w:rPr>
        <w:t>较</w:t>
      </w:r>
      <w:r>
        <w:rPr>
          <w:rFonts w:ascii="Times New Roman" w:hAnsi="Times New Roman" w:cs="Times New Roman"/>
          <w:sz w:val="24"/>
          <w:szCs w:val="32"/>
        </w:rPr>
        <w:t>破碎，结构部分破坏，裂隙发育，岩体基本质量等级Ⅴ级，无洞穴、临空面。</w:t>
      </w:r>
      <w:r>
        <w:rPr>
          <w:rFonts w:hint="eastAsia"/>
          <w:sz w:val="24"/>
        </w:rPr>
        <w:t>层厚</w:t>
      </w:r>
      <w:r>
        <w:rPr>
          <w:rFonts w:hint="eastAsia"/>
          <w:sz w:val="24"/>
          <w:lang w:val="en-US" w:eastAsia="zh-CN"/>
        </w:rPr>
        <w:t>2.10</w:t>
      </w:r>
      <w:r>
        <w:rPr>
          <w:rFonts w:hint="eastAsia"/>
          <w:sz w:val="24"/>
        </w:rPr>
        <w:t>-</w:t>
      </w:r>
      <w:r>
        <w:rPr>
          <w:rFonts w:hint="eastAsia"/>
          <w:sz w:val="24"/>
          <w:lang w:val="en-US" w:eastAsia="zh-CN"/>
        </w:rPr>
        <w:t>5.7</w:t>
      </w:r>
      <w:r>
        <w:rPr>
          <w:rFonts w:hint="eastAsia"/>
          <w:sz w:val="24"/>
        </w:rPr>
        <w:t>0m，层顶标高</w:t>
      </w:r>
      <w:r>
        <w:rPr>
          <w:rFonts w:hint="eastAsia"/>
          <w:sz w:val="24"/>
          <w:lang w:val="en-US" w:eastAsia="zh-CN"/>
        </w:rPr>
        <w:t>196.15</w:t>
      </w:r>
      <w:r>
        <w:rPr>
          <w:rFonts w:hint="eastAsia"/>
          <w:sz w:val="24"/>
        </w:rPr>
        <w:t>-1</w:t>
      </w:r>
      <w:r>
        <w:rPr>
          <w:rFonts w:hint="eastAsia"/>
          <w:sz w:val="24"/>
          <w:lang w:val="en-US" w:eastAsia="zh-CN"/>
        </w:rPr>
        <w:t>96.77</w:t>
      </w:r>
      <w:r>
        <w:rPr>
          <w:rFonts w:hint="eastAsia"/>
          <w:sz w:val="24"/>
        </w:rPr>
        <w:t>m。</w:t>
      </w:r>
    </w:p>
    <w:p>
      <w:pPr>
        <w:spacing w:line="360" w:lineRule="auto"/>
        <w:ind w:firstLine="480" w:firstLineChars="200"/>
        <w:rPr>
          <w:b/>
          <w:bCs/>
          <w:color w:val="000000"/>
        </w:rPr>
      </w:pPr>
      <w:r>
        <w:rPr>
          <w:rFonts w:hint="eastAsia"/>
          <w:sz w:val="24"/>
        </w:rPr>
        <w:t xml:space="preserve">第⑦层 </w:t>
      </w:r>
      <w:r>
        <w:rPr>
          <w:rFonts w:hint="eastAsia"/>
          <w:sz w:val="24"/>
          <w:lang w:eastAsia="zh-CN"/>
        </w:rPr>
        <w:t>中等风化砂质泥岩</w:t>
      </w:r>
      <w:r>
        <w:rPr>
          <w:rFonts w:hint="eastAsia"/>
          <w:sz w:val="24"/>
        </w:rPr>
        <w:t>：</w:t>
      </w:r>
      <w:r>
        <w:rPr>
          <w:rFonts w:ascii="Times New Roman" w:hAnsi="Times New Roman" w:cs="Times New Roman"/>
          <w:sz w:val="24"/>
          <w:szCs w:val="32"/>
        </w:rPr>
        <w:t>棕红色，灰色，中风化状态，干钻不能钻进，岩芯管合金钻头方可钻进，岩芯呈柱状，胶结强度较差，局部有红棕色，褐红色，灰白色泥质砂岩夹层，夹层分布无规律，砂岩成分中以砾砂颗粒为主，泥质胶结局部钙质胶结，砂质泥岩中局部包裹砾石。该层属</w:t>
      </w:r>
      <w:r>
        <w:rPr>
          <w:rFonts w:hint="eastAsia" w:ascii="Times New Roman" w:hAnsi="Times New Roman" w:cs="Times New Roman"/>
          <w:sz w:val="24"/>
          <w:szCs w:val="32"/>
          <w:lang w:eastAsia="zh-CN"/>
        </w:rPr>
        <w:t>极</w:t>
      </w:r>
      <w:r>
        <w:rPr>
          <w:rFonts w:ascii="Times New Roman" w:hAnsi="Times New Roman" w:cs="Times New Roman"/>
          <w:sz w:val="24"/>
          <w:szCs w:val="32"/>
        </w:rPr>
        <w:t>软岩，岩体较</w:t>
      </w:r>
      <w:r>
        <w:rPr>
          <w:rFonts w:hint="eastAsia" w:ascii="Times New Roman" w:hAnsi="Times New Roman" w:cs="Times New Roman"/>
          <w:sz w:val="24"/>
          <w:szCs w:val="32"/>
          <w:lang w:eastAsia="zh-CN"/>
        </w:rPr>
        <w:t>完整</w:t>
      </w:r>
      <w:r>
        <w:rPr>
          <w:rFonts w:ascii="Times New Roman" w:hAnsi="Times New Roman" w:cs="Times New Roman"/>
          <w:sz w:val="24"/>
          <w:szCs w:val="32"/>
        </w:rPr>
        <w:t>，岩体基本质量等级</w:t>
      </w:r>
      <w:r>
        <w:rPr>
          <w:rFonts w:hint="eastAsia" w:ascii="Times New Roman" w:hAnsi="Times New Roman" w:cs="Times New Roman"/>
          <w:sz w:val="24"/>
          <w:szCs w:val="32"/>
          <w:lang w:val="en-US" w:eastAsia="zh-CN"/>
        </w:rPr>
        <w:t>V</w:t>
      </w:r>
      <w:r>
        <w:rPr>
          <w:rFonts w:ascii="Times New Roman" w:hAnsi="Times New Roman" w:cs="Times New Roman"/>
          <w:sz w:val="24"/>
          <w:szCs w:val="32"/>
        </w:rPr>
        <w:t>级，无洞穴、临空面。</w:t>
      </w:r>
      <w:r>
        <w:rPr>
          <w:rFonts w:hint="eastAsia"/>
          <w:sz w:val="24"/>
        </w:rPr>
        <w:t>揭露最大厚度为</w:t>
      </w:r>
      <w:r>
        <w:rPr>
          <w:rFonts w:hint="eastAsia"/>
          <w:sz w:val="24"/>
          <w:lang w:val="en-US" w:eastAsia="zh-CN"/>
        </w:rPr>
        <w:t>14.20</w:t>
      </w:r>
      <w:r>
        <w:rPr>
          <w:rFonts w:hint="eastAsia"/>
          <w:sz w:val="24"/>
        </w:rPr>
        <w:t>m，层顶高程为</w:t>
      </w:r>
      <w:r>
        <w:rPr>
          <w:rFonts w:hint="eastAsia"/>
          <w:sz w:val="24"/>
          <w:lang w:val="en-US" w:eastAsia="zh-CN"/>
        </w:rPr>
        <w:t>191.65</w:t>
      </w:r>
      <w:r>
        <w:rPr>
          <w:rFonts w:hint="eastAsia"/>
          <w:sz w:val="24"/>
        </w:rPr>
        <w:t>-1</w:t>
      </w:r>
      <w:r>
        <w:rPr>
          <w:rFonts w:hint="eastAsia"/>
          <w:sz w:val="24"/>
          <w:lang w:val="en-US" w:eastAsia="zh-CN"/>
        </w:rPr>
        <w:t>96.17</w:t>
      </w:r>
      <w:r>
        <w:rPr>
          <w:rFonts w:hint="eastAsia"/>
          <w:sz w:val="24"/>
        </w:rPr>
        <w:t>m。</w:t>
      </w:r>
    </w:p>
    <w:p>
      <w:pPr>
        <w:pStyle w:val="3"/>
        <w:keepNext w:val="0"/>
        <w:keepLines w:val="0"/>
        <w:numPr>
          <w:ilvl w:val="1"/>
          <w:numId w:val="2"/>
        </w:numPr>
        <w:spacing w:before="0" w:after="0" w:line="480" w:lineRule="auto"/>
        <w:ind w:left="0"/>
        <w:jc w:val="left"/>
        <w:rPr>
          <w:rFonts w:ascii="Times New Roman" w:hAnsi="Times New Roman" w:eastAsia="黑体" w:cstheme="majorBidi"/>
          <w:sz w:val="28"/>
        </w:rPr>
      </w:pPr>
      <w:bookmarkStart w:id="21" w:name="_Toc10468515"/>
      <w:r>
        <w:rPr>
          <w:rFonts w:hint="eastAsia" w:ascii="Times New Roman" w:hAnsi="Times New Roman" w:eastAsia="黑体" w:cstheme="majorBidi"/>
          <w:sz w:val="28"/>
        </w:rPr>
        <w:t>场地水文地质条件</w:t>
      </w:r>
      <w:bookmarkEnd w:id="21"/>
    </w:p>
    <w:p>
      <w:pPr>
        <w:pStyle w:val="52"/>
        <w:numPr>
          <w:ilvl w:val="0"/>
          <w:numId w:val="0"/>
        </w:numPr>
        <w:rPr>
          <w:sz w:val="24"/>
          <w:lang w:val="zh-CN"/>
        </w:rPr>
      </w:pPr>
      <w:r>
        <w:rPr>
          <w:rFonts w:hint="eastAsia"/>
          <w:sz w:val="24"/>
          <w:lang w:val="zh-CN"/>
        </w:rPr>
        <w:t>2.7.1.地下水的类型及埋藏、分布特点</w:t>
      </w:r>
    </w:p>
    <w:p>
      <w:pPr>
        <w:spacing w:line="360" w:lineRule="auto"/>
        <w:ind w:firstLine="480" w:firstLineChars="200"/>
        <w:rPr>
          <w:sz w:val="24"/>
        </w:rPr>
      </w:pPr>
      <w:r>
        <w:rPr>
          <w:rFonts w:hint="eastAsia"/>
          <w:sz w:val="24"/>
        </w:rPr>
        <w:t>经勘察，场区地下水属于潜水类型，地下水主要埋藏于第</w:t>
      </w:r>
      <w:r>
        <w:rPr>
          <w:rFonts w:hint="eastAsia"/>
          <w:sz w:val="24"/>
          <w:lang w:eastAsia="zh-CN"/>
        </w:rPr>
        <w:t>②</w:t>
      </w:r>
      <w:r>
        <w:rPr>
          <w:rFonts w:hint="eastAsia"/>
          <w:sz w:val="24"/>
        </w:rPr>
        <w:t>~④土层中，初见水位</w:t>
      </w:r>
      <w:r>
        <w:rPr>
          <w:rFonts w:hint="eastAsia"/>
          <w:sz w:val="24"/>
          <w:lang w:val="en-US" w:eastAsia="zh-CN"/>
        </w:rPr>
        <w:t>1.00</w:t>
      </w:r>
      <w:r>
        <w:rPr>
          <w:rFonts w:hint="eastAsia"/>
          <w:sz w:val="24"/>
        </w:rPr>
        <w:t>-</w:t>
      </w:r>
      <w:r>
        <w:rPr>
          <w:rFonts w:hint="eastAsia"/>
          <w:sz w:val="24"/>
          <w:lang w:val="en-US" w:eastAsia="zh-CN"/>
        </w:rPr>
        <w:t>5.50</w:t>
      </w:r>
      <w:r>
        <w:rPr>
          <w:rFonts w:hint="eastAsia"/>
          <w:sz w:val="24"/>
        </w:rPr>
        <w:t>m，稳定水位</w:t>
      </w:r>
      <w:r>
        <w:rPr>
          <w:rFonts w:hint="eastAsia"/>
          <w:sz w:val="24"/>
          <w:lang w:val="en-US" w:eastAsia="zh-CN"/>
        </w:rPr>
        <w:t>0.9</w:t>
      </w:r>
      <w:r>
        <w:rPr>
          <w:rFonts w:hint="eastAsia"/>
          <w:sz w:val="24"/>
        </w:rPr>
        <w:t>0-</w:t>
      </w:r>
      <w:r>
        <w:rPr>
          <w:rFonts w:hint="eastAsia"/>
          <w:sz w:val="24"/>
          <w:lang w:val="en-US" w:eastAsia="zh-CN"/>
        </w:rPr>
        <w:t>5.3</w:t>
      </w:r>
      <w:r>
        <w:rPr>
          <w:rFonts w:hint="eastAsia"/>
          <w:sz w:val="24"/>
        </w:rPr>
        <w:t>0</w:t>
      </w:r>
      <w:r>
        <w:rPr>
          <w:sz w:val="24"/>
        </w:rPr>
        <w:t>m，</w:t>
      </w:r>
      <w:r>
        <w:rPr>
          <w:rFonts w:hint="eastAsia"/>
          <w:sz w:val="24"/>
        </w:rPr>
        <w:t>稳定</w:t>
      </w:r>
      <w:r>
        <w:rPr>
          <w:sz w:val="24"/>
        </w:rPr>
        <w:t>水位标高为</w:t>
      </w:r>
      <w:r>
        <w:rPr>
          <w:rFonts w:hint="eastAsia"/>
          <w:sz w:val="24"/>
          <w:lang w:val="en-US" w:eastAsia="zh-CN"/>
        </w:rPr>
        <w:t>201.77</w:t>
      </w:r>
      <w:r>
        <w:rPr>
          <w:rFonts w:hint="eastAsia"/>
          <w:sz w:val="24"/>
        </w:rPr>
        <w:t>-</w:t>
      </w:r>
      <w:r>
        <w:rPr>
          <w:rFonts w:hint="eastAsia"/>
          <w:sz w:val="24"/>
          <w:lang w:val="en-US" w:eastAsia="zh-CN"/>
        </w:rPr>
        <w:t>204.44</w:t>
      </w:r>
      <w:r>
        <w:rPr>
          <w:sz w:val="24"/>
        </w:rPr>
        <w:t>m</w:t>
      </w:r>
      <w:r>
        <w:rPr>
          <w:rFonts w:hint="eastAsia"/>
          <w:sz w:val="24"/>
        </w:rPr>
        <w:t>。</w:t>
      </w:r>
    </w:p>
    <w:p>
      <w:pPr>
        <w:pStyle w:val="52"/>
        <w:numPr>
          <w:ilvl w:val="0"/>
          <w:numId w:val="0"/>
        </w:numPr>
        <w:rPr>
          <w:sz w:val="24"/>
          <w:lang w:val="zh-CN"/>
        </w:rPr>
      </w:pPr>
      <w:r>
        <w:rPr>
          <w:rFonts w:hint="eastAsia"/>
          <w:sz w:val="24"/>
          <w:lang w:val="zh-CN"/>
        </w:rPr>
        <w:t>2.7.2.地下水补给、排泄条件及动态变化</w:t>
      </w:r>
    </w:p>
    <w:p>
      <w:pPr>
        <w:spacing w:line="360" w:lineRule="auto"/>
        <w:ind w:firstLine="480" w:firstLineChars="200"/>
        <w:rPr>
          <w:sz w:val="24"/>
        </w:rPr>
      </w:pPr>
      <w:r>
        <w:rPr>
          <w:rFonts w:hint="eastAsia"/>
          <w:sz w:val="24"/>
        </w:rPr>
        <w:t>地下水主要补给来源为大气降水及侧向补给，以蒸发排泄为主，场地地下水位随季节变化，</w:t>
      </w:r>
      <w:r>
        <w:rPr>
          <w:sz w:val="24"/>
        </w:rPr>
        <w:t>6～9</w:t>
      </w:r>
      <w:r>
        <w:rPr>
          <w:rFonts w:hint="eastAsia"/>
          <w:sz w:val="24"/>
        </w:rPr>
        <w:t>月份为丰水期，水位年变化幅度1.00</w:t>
      </w:r>
      <w:r>
        <w:rPr>
          <w:sz w:val="24"/>
        </w:rPr>
        <w:t>m</w:t>
      </w:r>
      <w:r>
        <w:rPr>
          <w:rFonts w:hint="eastAsia"/>
          <w:sz w:val="24"/>
        </w:rPr>
        <w:t>～2.00m左右。</w:t>
      </w:r>
    </w:p>
    <w:p>
      <w:pPr>
        <w:pStyle w:val="2"/>
        <w:keepNext w:val="0"/>
        <w:keepLines w:val="0"/>
        <w:numPr>
          <w:ilvl w:val="0"/>
          <w:numId w:val="2"/>
        </w:numPr>
        <w:spacing w:before="0" w:after="0" w:line="720" w:lineRule="auto"/>
        <w:jc w:val="left"/>
        <w:rPr>
          <w:rFonts w:eastAsia="黑体"/>
          <w:sz w:val="28"/>
        </w:rPr>
      </w:pPr>
      <w:bookmarkStart w:id="22" w:name="_Toc10468516"/>
      <w:r>
        <w:rPr>
          <w:rFonts w:hint="eastAsia" w:eastAsia="黑体"/>
          <w:sz w:val="28"/>
        </w:rPr>
        <w:t>岩土工程分析评价</w:t>
      </w:r>
      <w:bookmarkEnd w:id="22"/>
    </w:p>
    <w:p>
      <w:pPr>
        <w:pStyle w:val="3"/>
        <w:keepNext w:val="0"/>
        <w:keepLines w:val="0"/>
        <w:spacing w:before="0" w:after="0" w:line="480" w:lineRule="auto"/>
        <w:jc w:val="left"/>
        <w:rPr>
          <w:bCs w:val="0"/>
          <w:szCs w:val="24"/>
        </w:rPr>
      </w:pPr>
      <w:bookmarkStart w:id="23" w:name="_Toc10468517"/>
      <w:r>
        <w:rPr>
          <w:rFonts w:hint="eastAsia" w:ascii="Times New Roman" w:hAnsi="Times New Roman" w:eastAsia="黑体" w:cstheme="majorBidi"/>
          <w:sz w:val="28"/>
        </w:rPr>
        <w:t>3.1.特殊性岩土评价</w:t>
      </w:r>
      <w:bookmarkEnd w:id="23"/>
    </w:p>
    <w:p>
      <w:pPr>
        <w:spacing w:line="360" w:lineRule="auto"/>
        <w:ind w:firstLine="480" w:firstLineChars="200"/>
        <w:rPr>
          <w:sz w:val="24"/>
        </w:rPr>
      </w:pPr>
      <w:r>
        <w:rPr>
          <w:rFonts w:hint="eastAsia"/>
          <w:sz w:val="24"/>
        </w:rPr>
        <w:t>本工程拟建场地分布的特殊性岩土为浅部</w:t>
      </w:r>
      <w:r>
        <w:rPr>
          <w:rFonts w:hint="eastAsia"/>
          <w:sz w:val="24"/>
          <w:lang w:eastAsia="zh-CN"/>
        </w:rPr>
        <w:t>杂</w:t>
      </w:r>
      <w:r>
        <w:rPr>
          <w:rFonts w:hint="eastAsia"/>
          <w:sz w:val="24"/>
        </w:rPr>
        <w:t>填土和深部的风化岩。</w:t>
      </w:r>
    </w:p>
    <w:p>
      <w:pPr>
        <w:spacing w:line="360" w:lineRule="auto"/>
        <w:ind w:firstLine="480" w:firstLineChars="200"/>
        <w:rPr>
          <w:sz w:val="24"/>
        </w:rPr>
      </w:pPr>
      <w:r>
        <w:rPr>
          <w:rFonts w:hint="eastAsia"/>
          <w:sz w:val="24"/>
        </w:rPr>
        <w:t>填土：</w:t>
      </w:r>
      <w:r>
        <w:rPr>
          <w:sz w:val="24"/>
        </w:rPr>
        <w:t>主要为</w:t>
      </w:r>
      <w:r>
        <w:rPr>
          <w:rFonts w:hint="eastAsia"/>
          <w:sz w:val="24"/>
          <w:lang w:eastAsia="zh-CN"/>
        </w:rPr>
        <w:t>杂</w:t>
      </w:r>
      <w:r>
        <w:rPr>
          <w:sz w:val="24"/>
        </w:rPr>
        <w:t>填土，厚度为</w:t>
      </w:r>
      <w:r>
        <w:rPr>
          <w:rFonts w:hint="eastAsia"/>
          <w:sz w:val="24"/>
          <w:lang w:val="en-US" w:eastAsia="zh-CN"/>
        </w:rPr>
        <w:t>0.3</w:t>
      </w:r>
      <w:r>
        <w:rPr>
          <w:rFonts w:hint="eastAsia"/>
          <w:sz w:val="24"/>
        </w:rPr>
        <w:t>0-</w:t>
      </w:r>
      <w:r>
        <w:rPr>
          <w:rFonts w:hint="eastAsia"/>
          <w:sz w:val="24"/>
          <w:lang w:val="en-US" w:eastAsia="zh-CN"/>
        </w:rPr>
        <w:t>2.8</w:t>
      </w:r>
      <w:r>
        <w:rPr>
          <w:rFonts w:hint="eastAsia"/>
          <w:sz w:val="24"/>
        </w:rPr>
        <w:t>0</w:t>
      </w:r>
      <w:r>
        <w:rPr>
          <w:sz w:val="24"/>
        </w:rPr>
        <w:t>m。该层土成分杂乱，结构较差，工程性质较差，</w:t>
      </w:r>
      <w:r>
        <w:rPr>
          <w:rFonts w:hint="eastAsia"/>
          <w:sz w:val="24"/>
        </w:rPr>
        <w:t>自重固结尚未完成，抗剪强度低且不均匀，自稳性差，容易发生失稳坍塌造成事故或延误工期。人工填土透水性好，地表积水下渗容易形成漏水洞穴，对基坑特别不利，应加强防水工作，特别对填土厚度较大的区域，设计施工时应尤为重视。</w:t>
      </w:r>
    </w:p>
    <w:p>
      <w:pPr>
        <w:spacing w:line="360" w:lineRule="auto"/>
        <w:ind w:firstLine="480" w:firstLineChars="200"/>
        <w:rPr>
          <w:sz w:val="24"/>
        </w:rPr>
      </w:pPr>
      <w:r>
        <w:rPr>
          <w:rFonts w:hint="eastAsia"/>
          <w:sz w:val="24"/>
        </w:rPr>
        <w:t>风化岩：</w:t>
      </w:r>
      <w:r>
        <w:rPr>
          <w:sz w:val="24"/>
        </w:rPr>
        <w:t>拟建场地内分布的风化岩包括</w:t>
      </w:r>
      <w:r>
        <w:rPr>
          <w:rFonts w:hint="eastAsia"/>
          <w:sz w:val="24"/>
        </w:rPr>
        <w:t>第⑤</w:t>
      </w:r>
      <w:r>
        <w:rPr>
          <w:sz w:val="24"/>
        </w:rPr>
        <w:t>层</w:t>
      </w:r>
      <w:r>
        <w:rPr>
          <w:rFonts w:hint="eastAsia"/>
          <w:sz w:val="24"/>
          <w:lang w:eastAsia="zh-CN"/>
        </w:rPr>
        <w:t>全风化砂质泥岩</w:t>
      </w:r>
      <w:r>
        <w:rPr>
          <w:rFonts w:hint="eastAsia"/>
          <w:sz w:val="24"/>
        </w:rPr>
        <w:t>、第⑥</w:t>
      </w:r>
      <w:r>
        <w:rPr>
          <w:sz w:val="24"/>
        </w:rPr>
        <w:t>层</w:t>
      </w:r>
      <w:r>
        <w:rPr>
          <w:rFonts w:hint="eastAsia"/>
          <w:sz w:val="24"/>
          <w:lang w:eastAsia="zh-CN"/>
        </w:rPr>
        <w:t>强风化砂质泥岩</w:t>
      </w:r>
      <w:r>
        <w:rPr>
          <w:rFonts w:hint="eastAsia"/>
          <w:sz w:val="24"/>
        </w:rPr>
        <w:t>、第⑦层</w:t>
      </w:r>
      <w:r>
        <w:rPr>
          <w:rFonts w:hint="eastAsia"/>
          <w:sz w:val="24"/>
          <w:lang w:eastAsia="zh-CN"/>
        </w:rPr>
        <w:t>中等风化砂质泥岩</w:t>
      </w:r>
      <w:r>
        <w:rPr>
          <w:sz w:val="24"/>
        </w:rPr>
        <w:t>，为极软岩，岩体基本质量等级为</w:t>
      </w:r>
      <w:r>
        <w:rPr>
          <w:rFonts w:hint="eastAsia"/>
          <w:sz w:val="24"/>
        </w:rPr>
        <w:t>Ⅴ、Ⅴ、Ⅴ</w:t>
      </w:r>
      <w:r>
        <w:rPr>
          <w:sz w:val="24"/>
        </w:rPr>
        <w:t>级。此类岩层干燥时，承载力高、耐压力强，但遇水易软化、承载力降低。如做为桩端持力层时应考虑桩端软化问题，并按相应规范要求做好防护措施。</w:t>
      </w:r>
    </w:p>
    <w:p>
      <w:pPr>
        <w:spacing w:line="360" w:lineRule="auto"/>
        <w:ind w:firstLine="480" w:firstLineChars="200"/>
        <w:rPr>
          <w:rFonts w:ascii="宋体" w:hAnsi="宋体" w:cs="宋体"/>
          <w:b/>
          <w:bCs/>
        </w:rPr>
      </w:pPr>
      <w:r>
        <w:rPr>
          <w:rFonts w:hint="eastAsia"/>
          <w:sz w:val="24"/>
        </w:rPr>
        <w:t>本场地</w:t>
      </w:r>
      <w:r>
        <w:rPr>
          <w:sz w:val="24"/>
        </w:rPr>
        <w:t>未见湿陷性土、盐渍土</w:t>
      </w:r>
      <w:r>
        <w:rPr>
          <w:rFonts w:hint="eastAsia"/>
          <w:sz w:val="24"/>
        </w:rPr>
        <w:t>及污染土</w:t>
      </w:r>
      <w:r>
        <w:rPr>
          <w:sz w:val="24"/>
        </w:rPr>
        <w:t>等</w:t>
      </w:r>
      <w:r>
        <w:rPr>
          <w:rFonts w:hint="eastAsia"/>
          <w:sz w:val="24"/>
        </w:rPr>
        <w:t>，</w:t>
      </w:r>
      <w:r>
        <w:rPr>
          <w:sz w:val="24"/>
        </w:rPr>
        <w:t>施工时如发现</w:t>
      </w:r>
      <w:r>
        <w:rPr>
          <w:rFonts w:hint="eastAsia"/>
          <w:sz w:val="24"/>
        </w:rPr>
        <w:t>其它</w:t>
      </w:r>
      <w:r>
        <w:rPr>
          <w:sz w:val="24"/>
        </w:rPr>
        <w:t>影响施工的特殊</w:t>
      </w:r>
      <w:r>
        <w:rPr>
          <w:rFonts w:hint="eastAsia"/>
          <w:sz w:val="24"/>
        </w:rPr>
        <w:t>性</w:t>
      </w:r>
      <w:r>
        <w:rPr>
          <w:sz w:val="24"/>
        </w:rPr>
        <w:t>岩土，请通知</w:t>
      </w:r>
      <w:r>
        <w:rPr>
          <w:rFonts w:hint="eastAsia"/>
          <w:sz w:val="24"/>
        </w:rPr>
        <w:t>我院</w:t>
      </w:r>
      <w:r>
        <w:rPr>
          <w:sz w:val="24"/>
        </w:rPr>
        <w:t>参与处理</w:t>
      </w:r>
      <w:r>
        <w:rPr>
          <w:rFonts w:hint="eastAsia"/>
          <w:sz w:val="24"/>
        </w:rPr>
        <w:t>。</w:t>
      </w:r>
    </w:p>
    <w:p>
      <w:pPr>
        <w:pStyle w:val="3"/>
        <w:keepNext w:val="0"/>
        <w:keepLines w:val="0"/>
        <w:spacing w:before="0" w:after="0" w:line="480" w:lineRule="auto"/>
        <w:jc w:val="left"/>
        <w:rPr>
          <w:rFonts w:ascii="Times New Roman" w:hAnsi="Times New Roman" w:eastAsia="黑体" w:cstheme="majorBidi"/>
          <w:sz w:val="28"/>
        </w:rPr>
      </w:pPr>
      <w:bookmarkStart w:id="24" w:name="_Toc10468518"/>
      <w:r>
        <w:rPr>
          <w:rFonts w:hint="eastAsia" w:ascii="Times New Roman" w:hAnsi="Times New Roman" w:eastAsia="黑体" w:cstheme="majorBidi"/>
          <w:sz w:val="28"/>
        </w:rPr>
        <w:t>3.2.地下埋藏物评价</w:t>
      </w:r>
      <w:bookmarkEnd w:id="24"/>
    </w:p>
    <w:p>
      <w:pPr>
        <w:spacing w:line="360" w:lineRule="auto"/>
        <w:ind w:firstLine="480" w:firstLineChars="200"/>
        <w:rPr>
          <w:sz w:val="24"/>
        </w:rPr>
      </w:pPr>
      <w:r>
        <w:rPr>
          <w:rFonts w:hint="eastAsia"/>
          <w:sz w:val="24"/>
        </w:rPr>
        <w:t>本场地勘察时，通过调查得知，场地范围内未见对工程不利的地下埋藏物。</w:t>
      </w:r>
    </w:p>
    <w:p>
      <w:pPr>
        <w:pStyle w:val="3"/>
        <w:keepNext w:val="0"/>
        <w:keepLines w:val="0"/>
        <w:spacing w:before="0" w:after="0" w:line="480" w:lineRule="auto"/>
        <w:jc w:val="left"/>
        <w:rPr>
          <w:rFonts w:ascii="Times New Roman" w:hAnsi="Times New Roman" w:eastAsia="黑体" w:cstheme="majorBidi"/>
          <w:sz w:val="28"/>
        </w:rPr>
      </w:pPr>
      <w:bookmarkStart w:id="25" w:name="_Toc10468519"/>
      <w:r>
        <w:rPr>
          <w:rFonts w:hint="eastAsia" w:ascii="Times New Roman" w:hAnsi="Times New Roman" w:eastAsia="黑体" w:cstheme="majorBidi"/>
          <w:sz w:val="28"/>
        </w:rPr>
        <w:t>3.3.场地地震效应评价</w:t>
      </w:r>
      <w:bookmarkEnd w:id="25"/>
    </w:p>
    <w:p>
      <w:pPr>
        <w:pStyle w:val="52"/>
        <w:numPr>
          <w:ilvl w:val="0"/>
          <w:numId w:val="0"/>
        </w:numPr>
        <w:rPr>
          <w:sz w:val="24"/>
          <w:lang w:val="zh-CN"/>
        </w:rPr>
      </w:pPr>
      <w:r>
        <w:rPr>
          <w:rFonts w:hint="eastAsia"/>
          <w:sz w:val="24"/>
          <w:lang w:val="zh-CN"/>
        </w:rPr>
        <w:t>3.3.1.建筑场地类别</w:t>
      </w:r>
    </w:p>
    <w:p>
      <w:pPr>
        <w:spacing w:line="360" w:lineRule="auto"/>
        <w:ind w:firstLine="480" w:firstLineChars="200"/>
        <w:rPr>
          <w:sz w:val="24"/>
        </w:rPr>
      </w:pPr>
      <w:r>
        <w:rPr>
          <w:rFonts w:hint="eastAsia"/>
          <w:sz w:val="24"/>
        </w:rPr>
        <w:t>根据国家《建筑抗震设计规范》</w:t>
      </w:r>
      <w:r>
        <w:rPr>
          <w:sz w:val="24"/>
        </w:rPr>
        <w:t>GB50011</w:t>
      </w:r>
      <w:r>
        <w:rPr>
          <w:rFonts w:hint="eastAsia"/>
          <w:sz w:val="24"/>
        </w:rPr>
        <w:t>-</w:t>
      </w:r>
      <w:r>
        <w:rPr>
          <w:sz w:val="24"/>
        </w:rPr>
        <w:t>20</w:t>
      </w:r>
      <w:r>
        <w:rPr>
          <w:rFonts w:hint="eastAsia"/>
          <w:sz w:val="24"/>
        </w:rPr>
        <w:t>10(2016年版)</w:t>
      </w:r>
      <w:r>
        <w:rPr>
          <w:sz w:val="24"/>
        </w:rPr>
        <w:t>中第4.1.3条规定</w:t>
      </w:r>
      <w:r>
        <w:rPr>
          <w:rFonts w:hint="eastAsia"/>
          <w:sz w:val="24"/>
        </w:rPr>
        <w:t>，并结合场地土层的性质、组成、厚度等，实测钻孔等效剪切波速</w:t>
      </w:r>
      <w:r>
        <w:rPr>
          <w:rFonts w:hint="eastAsia"/>
          <w:sz w:val="24"/>
          <w:highlight w:val="yellow"/>
        </w:rPr>
        <w:t>为</w:t>
      </w:r>
      <w:r>
        <w:rPr>
          <w:rFonts w:hint="eastAsia"/>
          <w:sz w:val="24"/>
          <w:highlight w:val="yellow"/>
          <w:lang w:val="en-US" w:eastAsia="zh-CN"/>
        </w:rPr>
        <w:t>173.15</w:t>
      </w:r>
      <w:r>
        <w:rPr>
          <w:rFonts w:hint="eastAsia"/>
          <w:sz w:val="24"/>
          <w:highlight w:val="yellow"/>
        </w:rPr>
        <w:t>-</w:t>
      </w:r>
      <w:r>
        <w:rPr>
          <w:rFonts w:hint="eastAsia"/>
          <w:sz w:val="24"/>
          <w:highlight w:val="yellow"/>
          <w:lang w:val="en-US" w:eastAsia="zh-CN"/>
        </w:rPr>
        <w:t>188.69</w:t>
      </w:r>
      <w:r>
        <w:rPr>
          <w:sz w:val="24"/>
        </w:rPr>
        <w:t>m/s</w:t>
      </w:r>
      <w:r>
        <w:rPr>
          <w:rFonts w:hint="eastAsia"/>
          <w:sz w:val="24"/>
        </w:rPr>
        <w:t>，依据场地实测剪切波速资料，场地覆盖层的厚度介于3</w:t>
      </w:r>
      <w:r>
        <w:rPr>
          <w:rFonts w:hint="eastAsia" w:ascii="宋体" w:hAnsi="宋体"/>
          <w:sz w:val="24"/>
        </w:rPr>
        <w:t>～</w:t>
      </w:r>
      <w:r>
        <w:rPr>
          <w:sz w:val="24"/>
        </w:rPr>
        <w:t>50m之间</w:t>
      </w:r>
      <w:r>
        <w:rPr>
          <w:rFonts w:hint="eastAsia"/>
          <w:sz w:val="24"/>
        </w:rPr>
        <w:t>，</w:t>
      </w:r>
      <w:r>
        <w:rPr>
          <w:sz w:val="24"/>
        </w:rPr>
        <w:t>又根据4.1.6</w:t>
      </w:r>
      <w:r>
        <w:rPr>
          <w:rFonts w:hint="eastAsia"/>
          <w:sz w:val="24"/>
        </w:rPr>
        <w:t>条的划分原则，建筑场地类别为</w:t>
      </w:r>
      <w:r>
        <w:rPr>
          <w:sz w:val="24"/>
        </w:rPr>
        <w:fldChar w:fldCharType="begin"/>
      </w:r>
      <w:r>
        <w:rPr>
          <w:sz w:val="24"/>
        </w:rPr>
        <w:instrText xml:space="preserve"> = 2 \* ROMAN </w:instrText>
      </w:r>
      <w:r>
        <w:rPr>
          <w:sz w:val="24"/>
        </w:rPr>
        <w:fldChar w:fldCharType="separate"/>
      </w:r>
      <w:r>
        <w:rPr>
          <w:sz w:val="24"/>
        </w:rPr>
        <w:t>II</w:t>
      </w:r>
      <w:r>
        <w:rPr>
          <w:sz w:val="24"/>
        </w:rPr>
        <w:fldChar w:fldCharType="end"/>
      </w:r>
      <w:r>
        <w:rPr>
          <w:rFonts w:hint="eastAsia"/>
          <w:sz w:val="24"/>
        </w:rPr>
        <w:t>类。其中，第①层土的类别为软弱土，第②、③层土的类别为中软土，第④、⑤、⑥层土的类别为中硬土，第⑦层土的类别为软质岩石。</w:t>
      </w:r>
    </w:p>
    <w:p>
      <w:pPr>
        <w:pStyle w:val="52"/>
        <w:numPr>
          <w:ilvl w:val="0"/>
          <w:numId w:val="0"/>
        </w:numPr>
        <w:rPr>
          <w:rFonts w:ascii="宋体" w:cs="宋体"/>
          <w:b w:val="0"/>
          <w:szCs w:val="28"/>
          <w:lang w:val="zh-CN"/>
        </w:rPr>
      </w:pPr>
      <w:r>
        <w:rPr>
          <w:rFonts w:hint="eastAsia"/>
          <w:sz w:val="24"/>
          <w:lang w:val="zh-CN"/>
        </w:rPr>
        <w:t xml:space="preserve">3.3.2.地震影响基本参数 </w:t>
      </w:r>
      <w:r>
        <w:rPr>
          <w:rFonts w:hint="eastAsia" w:ascii="宋体" w:cs="宋体"/>
          <w:b w:val="0"/>
          <w:szCs w:val="28"/>
          <w:lang w:val="zh-CN"/>
        </w:rPr>
        <w:t xml:space="preserve">     </w:t>
      </w:r>
    </w:p>
    <w:p>
      <w:pPr>
        <w:spacing w:line="360" w:lineRule="auto"/>
        <w:ind w:firstLine="480" w:firstLineChars="200"/>
        <w:rPr>
          <w:sz w:val="24"/>
        </w:rPr>
      </w:pPr>
      <w:r>
        <w:rPr>
          <w:rFonts w:hint="eastAsia"/>
          <w:sz w:val="24"/>
        </w:rPr>
        <w:t>依据《中国地震动参数区划图》</w:t>
      </w:r>
      <w:r>
        <w:rPr>
          <w:sz w:val="24"/>
        </w:rPr>
        <w:t>GB 18306-2015</w:t>
      </w:r>
      <w:r>
        <w:rPr>
          <w:rFonts w:hint="eastAsia"/>
          <w:sz w:val="24"/>
        </w:rPr>
        <w:t>评价地震动参数，长春地区抗震设防烈度为7度，设计基本地震加速度值为0.10</w:t>
      </w:r>
      <w:r>
        <w:rPr>
          <w:sz w:val="24"/>
        </w:rPr>
        <w:t>g</w:t>
      </w:r>
      <w:r>
        <w:rPr>
          <w:rFonts w:hint="eastAsia"/>
          <w:sz w:val="24"/>
        </w:rPr>
        <w:t>，场地类别为</w:t>
      </w:r>
      <w:r>
        <w:rPr>
          <w:sz w:val="24"/>
        </w:rPr>
        <w:fldChar w:fldCharType="begin"/>
      </w:r>
      <w:r>
        <w:rPr>
          <w:sz w:val="24"/>
        </w:rPr>
        <w:instrText xml:space="preserve"> = 2 \* ROMAN </w:instrText>
      </w:r>
      <w:r>
        <w:rPr>
          <w:sz w:val="24"/>
        </w:rPr>
        <w:fldChar w:fldCharType="separate"/>
      </w:r>
      <w:r>
        <w:rPr>
          <w:sz w:val="24"/>
        </w:rPr>
        <w:t>II</w:t>
      </w:r>
      <w:r>
        <w:rPr>
          <w:sz w:val="24"/>
        </w:rPr>
        <w:fldChar w:fldCharType="end"/>
      </w:r>
      <w:r>
        <w:rPr>
          <w:rFonts w:hint="eastAsia"/>
          <w:sz w:val="24"/>
        </w:rPr>
        <w:t>类，设计特征周期为</w:t>
      </w:r>
      <w:r>
        <w:rPr>
          <w:sz w:val="24"/>
        </w:rPr>
        <w:t>0.35s</w:t>
      </w:r>
      <w:r>
        <w:rPr>
          <w:rFonts w:hint="eastAsia"/>
          <w:sz w:val="24"/>
        </w:rPr>
        <w:t>，设计地震分组为第一组。</w:t>
      </w:r>
    </w:p>
    <w:p>
      <w:pPr>
        <w:spacing w:line="360" w:lineRule="auto"/>
        <w:ind w:firstLine="480" w:firstLineChars="200"/>
        <w:rPr>
          <w:rFonts w:ascii="宋体" w:hAnsi="宋体" w:cs="宋体"/>
          <w:sz w:val="28"/>
          <w:szCs w:val="21"/>
          <w:lang w:val="zh-CN"/>
        </w:rPr>
      </w:pPr>
      <w:r>
        <w:rPr>
          <w:sz w:val="24"/>
        </w:rPr>
        <w:t>根据《建筑工程抗震设防分类标准》（GB 50223-2008）规定，本工程</w:t>
      </w:r>
      <w:r>
        <w:rPr>
          <w:rFonts w:hint="eastAsia"/>
          <w:sz w:val="24"/>
        </w:rPr>
        <w:t>建筑的</w:t>
      </w:r>
      <w:r>
        <w:rPr>
          <w:sz w:val="24"/>
        </w:rPr>
        <w:t>抗震设防类别为标准</w:t>
      </w:r>
      <w:r>
        <w:rPr>
          <w:rFonts w:hint="eastAsia"/>
          <w:sz w:val="24"/>
        </w:rPr>
        <w:t>设防类</w:t>
      </w:r>
      <w:r>
        <w:rPr>
          <w:sz w:val="24"/>
        </w:rPr>
        <w:t>。</w:t>
      </w:r>
    </w:p>
    <w:p>
      <w:pPr>
        <w:pStyle w:val="52"/>
        <w:numPr>
          <w:ilvl w:val="0"/>
          <w:numId w:val="0"/>
        </w:numPr>
        <w:rPr>
          <w:sz w:val="24"/>
          <w:lang w:val="zh-CN"/>
        </w:rPr>
      </w:pPr>
      <w:bookmarkStart w:id="26" w:name="_Toc456789868"/>
      <w:r>
        <w:rPr>
          <w:sz w:val="24"/>
          <w:lang w:val="zh-CN"/>
        </w:rPr>
        <w:t>3.</w:t>
      </w:r>
      <w:r>
        <w:rPr>
          <w:rFonts w:hint="eastAsia"/>
          <w:sz w:val="24"/>
          <w:lang w:val="zh-CN"/>
        </w:rPr>
        <w:t>3.3.</w:t>
      </w:r>
      <w:r>
        <w:rPr>
          <w:sz w:val="24"/>
          <w:lang w:val="zh-CN"/>
        </w:rPr>
        <w:t xml:space="preserve"> 地震液化判定</w:t>
      </w:r>
      <w:bookmarkEnd w:id="26"/>
    </w:p>
    <w:p>
      <w:pPr>
        <w:spacing w:line="360" w:lineRule="auto"/>
        <w:ind w:firstLine="480" w:firstLineChars="200"/>
        <w:rPr>
          <w:sz w:val="24"/>
        </w:rPr>
      </w:pPr>
      <w:r>
        <w:rPr>
          <w:rFonts w:hint="eastAsia"/>
          <w:sz w:val="24"/>
        </w:rPr>
        <w:t>根据本次揭露地层资料可知，本场地</w:t>
      </w:r>
      <w:r>
        <w:rPr>
          <w:sz w:val="24"/>
        </w:rPr>
        <w:t>20m</w:t>
      </w:r>
      <w:r>
        <w:rPr>
          <w:rFonts w:hint="eastAsia"/>
          <w:sz w:val="24"/>
        </w:rPr>
        <w:t>范围内的可能液化土层为第</w:t>
      </w:r>
      <w:r>
        <w:rPr>
          <w:rFonts w:hint="eastAsia"/>
          <w:sz w:val="24"/>
          <w:lang w:eastAsia="zh-CN"/>
        </w:rPr>
        <w:t>④</w:t>
      </w:r>
      <w:r>
        <w:rPr>
          <w:rFonts w:hint="eastAsia"/>
          <w:sz w:val="24"/>
        </w:rPr>
        <w:t>层粗砂。根据《建筑抗震设计规范》</w:t>
      </w:r>
      <w:r>
        <w:rPr>
          <w:sz w:val="24"/>
        </w:rPr>
        <w:t>GB 50011-2010</w:t>
      </w:r>
      <w:r>
        <w:rPr>
          <w:rFonts w:hint="eastAsia"/>
          <w:sz w:val="24"/>
        </w:rPr>
        <w:t>计算判别，详见液化判别表（表</w:t>
      </w:r>
      <w:r>
        <w:rPr>
          <w:sz w:val="24"/>
        </w:rPr>
        <w:t>3.4-1</w:t>
      </w:r>
      <w:r>
        <w:rPr>
          <w:rFonts w:hint="eastAsia"/>
          <w:sz w:val="24"/>
        </w:rPr>
        <w:t>）：</w:t>
      </w:r>
    </w:p>
    <w:p>
      <w:pPr>
        <w:pStyle w:val="56"/>
        <w:spacing w:line="360" w:lineRule="auto"/>
        <w:ind w:firstLine="480"/>
        <w:jc w:val="center"/>
        <w:rPr>
          <w:rFonts w:hint="eastAsia"/>
          <w:sz w:val="24"/>
          <w:szCs w:val="24"/>
        </w:rPr>
      </w:pPr>
      <w:r>
        <w:rPr>
          <w:rFonts w:hint="eastAsia"/>
          <w:sz w:val="24"/>
          <w:szCs w:val="24"/>
        </w:rPr>
        <w:t>表</w:t>
      </w:r>
      <w:r>
        <w:rPr>
          <w:sz w:val="24"/>
          <w:szCs w:val="24"/>
          <w:lang w:val="en-US"/>
        </w:rPr>
        <w:t xml:space="preserve">3.4-1 </w:t>
      </w:r>
      <w:r>
        <w:rPr>
          <w:rFonts w:hint="eastAsia"/>
          <w:sz w:val="24"/>
          <w:szCs w:val="24"/>
        </w:rPr>
        <w:t>液化判别表</w:t>
      </w:r>
    </w:p>
    <w:tbl>
      <w:tblPr>
        <w:tblStyle w:val="13"/>
        <w:tblW w:w="9255" w:type="dxa"/>
        <w:tblInd w:w="0" w:type="dxa"/>
        <w:shd w:val="clear" w:color="auto" w:fill="auto"/>
        <w:tblLayout w:type="autofit"/>
        <w:tblCellMar>
          <w:top w:w="0" w:type="dxa"/>
          <w:left w:w="0" w:type="dxa"/>
          <w:bottom w:w="0" w:type="dxa"/>
          <w:right w:w="0" w:type="dxa"/>
        </w:tblCellMar>
      </w:tblPr>
      <w:tblGrid>
        <w:gridCol w:w="772"/>
        <w:gridCol w:w="870"/>
        <w:gridCol w:w="772"/>
        <w:gridCol w:w="1245"/>
        <w:gridCol w:w="772"/>
        <w:gridCol w:w="772"/>
        <w:gridCol w:w="772"/>
        <w:gridCol w:w="772"/>
        <w:gridCol w:w="772"/>
        <w:gridCol w:w="772"/>
        <w:gridCol w:w="964"/>
      </w:tblGrid>
      <w:tr>
        <w:tblPrEx>
          <w:shd w:val="clear" w:color="auto" w:fill="auto"/>
          <w:tblCellMar>
            <w:top w:w="0" w:type="dxa"/>
            <w:left w:w="0" w:type="dxa"/>
            <w:bottom w:w="0" w:type="dxa"/>
            <w:right w:w="0" w:type="dxa"/>
          </w:tblCellMar>
        </w:tblPrEx>
        <w:trPr>
          <w:trHeight w:val="300" w:hRule="atLeast"/>
        </w:trPr>
        <w:tc>
          <w:tcPr>
            <w:tcW w:w="772" w:type="dxa"/>
            <w:vMerge w:val="restart"/>
            <w:tcBorders>
              <w:top w:val="single" w:color="000000" w:sz="4" w:space="0"/>
              <w:left w:val="doub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勘探</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点</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编</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号</w:t>
            </w: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液化判别</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地下水位</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深度</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dw</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(m)</w:t>
            </w: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土层</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编号</w:t>
            </w: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土层</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名称</w:t>
            </w: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层底</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深度</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(m)</w:t>
            </w: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标贯点</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底深</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(m)</w:t>
            </w: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黏粒</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含量</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ρc</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w:t>
            </w: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标贯</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锤击数</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基准值</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No</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(击)</w:t>
            </w: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临界</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锤击数</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Ncri</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 击)</w:t>
            </w: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实际</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锤击数</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Ni</w:t>
            </w:r>
            <w:r>
              <w:rPr>
                <w:rFonts w:hint="default" w:ascii="Times New Roman" w:hAnsi="Times New Roman" w:eastAsia="宋体" w:cs="Times New Roman"/>
                <w:i w:val="0"/>
                <w:color w:val="000000"/>
                <w:kern w:val="0"/>
                <w:sz w:val="20"/>
                <w:szCs w:val="20"/>
                <w:u w:val="none"/>
                <w:lang w:val="en-US" w:eastAsia="zh-CN" w:bidi="ar"/>
              </w:rPr>
              <w:br w:type="textWrapping"/>
            </w:r>
            <w:r>
              <w:rPr>
                <w:rFonts w:hint="default" w:ascii="Times New Roman" w:hAnsi="Times New Roman" w:eastAsia="宋体" w:cs="Times New Roman"/>
                <w:i w:val="0"/>
                <w:color w:val="000000"/>
                <w:kern w:val="0"/>
                <w:sz w:val="20"/>
                <w:szCs w:val="20"/>
                <w:u w:val="none"/>
                <w:lang w:val="en-US" w:eastAsia="zh-CN" w:bidi="ar"/>
              </w:rPr>
              <w:t>(击)</w:t>
            </w:r>
          </w:p>
        </w:tc>
        <w:tc>
          <w:tcPr>
            <w:tcW w:w="96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详判结果</w:t>
            </w:r>
          </w:p>
        </w:tc>
      </w:tr>
      <w:tr>
        <w:tblPrEx>
          <w:tblCellMar>
            <w:top w:w="0" w:type="dxa"/>
            <w:left w:w="0" w:type="dxa"/>
            <w:bottom w:w="0" w:type="dxa"/>
            <w:right w:w="0" w:type="dxa"/>
          </w:tblCellMar>
        </w:tblPrEx>
        <w:trPr>
          <w:trHeight w:val="1500" w:hRule="atLeast"/>
        </w:trPr>
        <w:tc>
          <w:tcPr>
            <w:tcW w:w="772" w:type="dxa"/>
            <w:vMerge w:val="continue"/>
            <w:tcBorders>
              <w:top w:val="single" w:color="000000" w:sz="4" w:space="0"/>
              <w:left w:val="doub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96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r>
      <w:tr>
        <w:tblPrEx>
          <w:tblCellMar>
            <w:top w:w="0" w:type="dxa"/>
            <w:left w:w="0" w:type="dxa"/>
            <w:bottom w:w="0" w:type="dxa"/>
            <w:right w:w="0" w:type="dxa"/>
          </w:tblCellMar>
        </w:tblPrEx>
        <w:trPr>
          <w:trHeight w:val="390" w:hRule="atLeast"/>
        </w:trPr>
        <w:tc>
          <w:tcPr>
            <w:tcW w:w="772" w:type="dxa"/>
            <w:vMerge w:val="restart"/>
            <w:tcBorders>
              <w:top w:val="single" w:color="000000" w:sz="4" w:space="0"/>
              <w:left w:val="doub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A14</w:t>
            </w: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w:t>
            </w: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4-0-0</w:t>
            </w: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粗砂</w:t>
            </w: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5.50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6.65</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27.00</w:t>
            </w:r>
          </w:p>
        </w:tc>
        <w:tc>
          <w:tcPr>
            <w:tcW w:w="9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不液化</w:t>
            </w:r>
          </w:p>
        </w:tc>
      </w:tr>
      <w:tr>
        <w:tblPrEx>
          <w:tblCellMar>
            <w:top w:w="0" w:type="dxa"/>
            <w:left w:w="0" w:type="dxa"/>
            <w:bottom w:w="0" w:type="dxa"/>
            <w:right w:w="0" w:type="dxa"/>
          </w:tblCellMar>
        </w:tblPrEx>
        <w:trPr>
          <w:trHeight w:val="390" w:hRule="atLeast"/>
        </w:trPr>
        <w:tc>
          <w:tcPr>
            <w:tcW w:w="772" w:type="dxa"/>
            <w:vMerge w:val="continue"/>
            <w:tcBorders>
              <w:top w:val="single" w:color="000000" w:sz="4" w:space="0"/>
              <w:left w:val="doub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7.47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30.00</w:t>
            </w:r>
          </w:p>
        </w:tc>
        <w:tc>
          <w:tcPr>
            <w:tcW w:w="9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不液化</w:t>
            </w:r>
          </w:p>
        </w:tc>
      </w:tr>
      <w:tr>
        <w:tblPrEx>
          <w:tblCellMar>
            <w:top w:w="0" w:type="dxa"/>
            <w:left w:w="0" w:type="dxa"/>
            <w:bottom w:w="0" w:type="dxa"/>
            <w:right w:w="0" w:type="dxa"/>
          </w:tblCellMar>
        </w:tblPrEx>
        <w:trPr>
          <w:trHeight w:val="390" w:hRule="atLeast"/>
        </w:trPr>
        <w:tc>
          <w:tcPr>
            <w:tcW w:w="772" w:type="dxa"/>
            <w:tcBorders>
              <w:top w:val="single" w:color="000000" w:sz="4" w:space="0"/>
              <w:left w:val="doub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A18</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4-0-0</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粗砂</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7.50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8.18</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29.00</w:t>
            </w:r>
          </w:p>
        </w:tc>
        <w:tc>
          <w:tcPr>
            <w:tcW w:w="9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不液化</w:t>
            </w:r>
          </w:p>
        </w:tc>
      </w:tr>
      <w:tr>
        <w:tblPrEx>
          <w:tblCellMar>
            <w:top w:w="0" w:type="dxa"/>
            <w:left w:w="0" w:type="dxa"/>
            <w:bottom w:w="0" w:type="dxa"/>
            <w:right w:w="0" w:type="dxa"/>
          </w:tblCellMar>
        </w:tblPrEx>
        <w:trPr>
          <w:trHeight w:val="390" w:hRule="atLeast"/>
        </w:trPr>
        <w:tc>
          <w:tcPr>
            <w:tcW w:w="772" w:type="dxa"/>
            <w:tcBorders>
              <w:top w:val="single" w:color="000000" w:sz="4" w:space="0"/>
              <w:left w:val="doub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A4</w:t>
            </w: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4-0-0</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粗砂</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7.30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8.18</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34.00</w:t>
            </w:r>
          </w:p>
        </w:tc>
        <w:tc>
          <w:tcPr>
            <w:tcW w:w="9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不液化</w:t>
            </w:r>
          </w:p>
        </w:tc>
      </w:tr>
      <w:tr>
        <w:tblPrEx>
          <w:tblCellMar>
            <w:top w:w="0" w:type="dxa"/>
            <w:left w:w="0" w:type="dxa"/>
            <w:bottom w:w="0" w:type="dxa"/>
            <w:right w:w="0" w:type="dxa"/>
          </w:tblCellMar>
        </w:tblPrEx>
        <w:trPr>
          <w:trHeight w:val="390" w:hRule="atLeast"/>
        </w:trPr>
        <w:tc>
          <w:tcPr>
            <w:tcW w:w="772" w:type="dxa"/>
            <w:tcBorders>
              <w:top w:val="single" w:color="000000" w:sz="4" w:space="0"/>
              <w:left w:val="doub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Z104</w:t>
            </w: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4-0-0</w:t>
            </w: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粗砂</w:t>
            </w: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7.50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7.47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28.00</w:t>
            </w:r>
          </w:p>
        </w:tc>
        <w:tc>
          <w:tcPr>
            <w:tcW w:w="9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不液化</w:t>
            </w:r>
          </w:p>
        </w:tc>
      </w:tr>
      <w:tr>
        <w:tblPrEx>
          <w:tblCellMar>
            <w:top w:w="0" w:type="dxa"/>
            <w:left w:w="0" w:type="dxa"/>
            <w:bottom w:w="0" w:type="dxa"/>
            <w:right w:w="0" w:type="dxa"/>
          </w:tblCellMar>
        </w:tblPrEx>
        <w:trPr>
          <w:trHeight w:val="390" w:hRule="atLeast"/>
        </w:trPr>
        <w:tc>
          <w:tcPr>
            <w:tcW w:w="772" w:type="dxa"/>
            <w:tcBorders>
              <w:top w:val="single" w:color="000000" w:sz="4" w:space="0"/>
              <w:left w:val="doub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Z104</w:t>
            </w: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w:t>
            </w: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8.82</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39.00</w:t>
            </w:r>
          </w:p>
        </w:tc>
        <w:tc>
          <w:tcPr>
            <w:tcW w:w="9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不液化</w:t>
            </w:r>
          </w:p>
        </w:tc>
      </w:tr>
      <w:tr>
        <w:tblPrEx>
          <w:tblCellMar>
            <w:top w:w="0" w:type="dxa"/>
            <w:left w:w="0" w:type="dxa"/>
            <w:bottom w:w="0" w:type="dxa"/>
            <w:right w:w="0" w:type="dxa"/>
          </w:tblCellMar>
        </w:tblPrEx>
        <w:trPr>
          <w:trHeight w:val="390" w:hRule="atLeast"/>
        </w:trPr>
        <w:tc>
          <w:tcPr>
            <w:tcW w:w="772" w:type="dxa"/>
            <w:tcBorders>
              <w:top w:val="single" w:color="000000" w:sz="4" w:space="0"/>
              <w:left w:val="doub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Z113</w:t>
            </w: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4-0-0</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粗砂</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6.20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7.47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35.00</w:t>
            </w:r>
          </w:p>
        </w:tc>
        <w:tc>
          <w:tcPr>
            <w:tcW w:w="9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不液化</w:t>
            </w:r>
          </w:p>
        </w:tc>
      </w:tr>
      <w:tr>
        <w:tblPrEx>
          <w:tblCellMar>
            <w:top w:w="0" w:type="dxa"/>
            <w:left w:w="0" w:type="dxa"/>
            <w:bottom w:w="0" w:type="dxa"/>
            <w:right w:w="0" w:type="dxa"/>
          </w:tblCellMar>
        </w:tblPrEx>
        <w:trPr>
          <w:trHeight w:val="390" w:hRule="atLeast"/>
        </w:trPr>
        <w:tc>
          <w:tcPr>
            <w:tcW w:w="772" w:type="dxa"/>
            <w:tcBorders>
              <w:top w:val="single" w:color="000000" w:sz="4" w:space="0"/>
              <w:left w:val="doub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Z124</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4-0-0</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粗砂</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7.30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8.18</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28.00</w:t>
            </w:r>
          </w:p>
        </w:tc>
        <w:tc>
          <w:tcPr>
            <w:tcW w:w="9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不液化</w:t>
            </w:r>
          </w:p>
        </w:tc>
      </w:tr>
      <w:tr>
        <w:tblPrEx>
          <w:tblCellMar>
            <w:top w:w="0" w:type="dxa"/>
            <w:left w:w="0" w:type="dxa"/>
            <w:bottom w:w="0" w:type="dxa"/>
            <w:right w:w="0" w:type="dxa"/>
          </w:tblCellMar>
        </w:tblPrEx>
        <w:trPr>
          <w:trHeight w:val="390" w:hRule="atLeast"/>
        </w:trPr>
        <w:tc>
          <w:tcPr>
            <w:tcW w:w="772" w:type="dxa"/>
            <w:tcBorders>
              <w:top w:val="single" w:color="000000" w:sz="4" w:space="0"/>
              <w:left w:val="doub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Z131</w:t>
            </w: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w:t>
            </w: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4-0-0</w:t>
            </w: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粗砂</w:t>
            </w: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7.47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28.00</w:t>
            </w:r>
          </w:p>
        </w:tc>
        <w:tc>
          <w:tcPr>
            <w:tcW w:w="9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不液化</w:t>
            </w:r>
          </w:p>
        </w:tc>
      </w:tr>
      <w:tr>
        <w:tblPrEx>
          <w:tblCellMar>
            <w:top w:w="0" w:type="dxa"/>
            <w:left w:w="0" w:type="dxa"/>
            <w:bottom w:w="0" w:type="dxa"/>
            <w:right w:w="0" w:type="dxa"/>
          </w:tblCellMar>
        </w:tblPrEx>
        <w:trPr>
          <w:trHeight w:val="390" w:hRule="atLeast"/>
        </w:trPr>
        <w:tc>
          <w:tcPr>
            <w:tcW w:w="772" w:type="dxa"/>
            <w:tcBorders>
              <w:top w:val="single" w:color="000000" w:sz="4" w:space="0"/>
              <w:left w:val="doub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Z131</w:t>
            </w: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8.82</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35.00</w:t>
            </w:r>
          </w:p>
        </w:tc>
        <w:tc>
          <w:tcPr>
            <w:tcW w:w="9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不液化</w:t>
            </w:r>
          </w:p>
        </w:tc>
      </w:tr>
      <w:tr>
        <w:tblPrEx>
          <w:tblCellMar>
            <w:top w:w="0" w:type="dxa"/>
            <w:left w:w="0" w:type="dxa"/>
            <w:bottom w:w="0" w:type="dxa"/>
            <w:right w:w="0" w:type="dxa"/>
          </w:tblCellMar>
        </w:tblPrEx>
        <w:trPr>
          <w:trHeight w:val="390" w:hRule="atLeast"/>
        </w:trPr>
        <w:tc>
          <w:tcPr>
            <w:tcW w:w="772" w:type="dxa"/>
            <w:tcBorders>
              <w:top w:val="single" w:color="000000" w:sz="4" w:space="0"/>
              <w:left w:val="doub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Z132</w:t>
            </w: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4-0-0</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粗砂</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6.40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7.47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28.00</w:t>
            </w:r>
          </w:p>
        </w:tc>
        <w:tc>
          <w:tcPr>
            <w:tcW w:w="9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不液化</w:t>
            </w:r>
          </w:p>
        </w:tc>
      </w:tr>
      <w:tr>
        <w:tblPrEx>
          <w:tblCellMar>
            <w:top w:w="0" w:type="dxa"/>
            <w:left w:w="0" w:type="dxa"/>
            <w:bottom w:w="0" w:type="dxa"/>
            <w:right w:w="0" w:type="dxa"/>
          </w:tblCellMar>
        </w:tblPrEx>
        <w:trPr>
          <w:trHeight w:val="390" w:hRule="atLeast"/>
        </w:trPr>
        <w:tc>
          <w:tcPr>
            <w:tcW w:w="772" w:type="dxa"/>
            <w:tcBorders>
              <w:top w:val="single" w:color="000000" w:sz="4" w:space="0"/>
              <w:left w:val="doub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Z184</w:t>
            </w: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4-0-0</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粗砂</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6.50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7.47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27.00</w:t>
            </w:r>
          </w:p>
        </w:tc>
        <w:tc>
          <w:tcPr>
            <w:tcW w:w="9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不液化</w:t>
            </w:r>
          </w:p>
        </w:tc>
      </w:tr>
      <w:tr>
        <w:tblPrEx>
          <w:tblCellMar>
            <w:top w:w="0" w:type="dxa"/>
            <w:left w:w="0" w:type="dxa"/>
            <w:bottom w:w="0" w:type="dxa"/>
            <w:right w:w="0" w:type="dxa"/>
          </w:tblCellMar>
        </w:tblPrEx>
        <w:trPr>
          <w:trHeight w:val="390" w:hRule="atLeast"/>
        </w:trPr>
        <w:tc>
          <w:tcPr>
            <w:tcW w:w="772" w:type="dxa"/>
            <w:tcBorders>
              <w:top w:val="single" w:color="000000" w:sz="4" w:space="0"/>
              <w:left w:val="doub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Z19</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w:t>
            </w: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4-0-0</w:t>
            </w: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粗砂</w:t>
            </w: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8.18</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31.00</w:t>
            </w:r>
          </w:p>
        </w:tc>
        <w:tc>
          <w:tcPr>
            <w:tcW w:w="9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不液化</w:t>
            </w:r>
          </w:p>
        </w:tc>
      </w:tr>
      <w:tr>
        <w:tblPrEx>
          <w:tblCellMar>
            <w:top w:w="0" w:type="dxa"/>
            <w:left w:w="0" w:type="dxa"/>
            <w:bottom w:w="0" w:type="dxa"/>
            <w:right w:w="0" w:type="dxa"/>
          </w:tblCellMar>
        </w:tblPrEx>
        <w:trPr>
          <w:trHeight w:val="390" w:hRule="atLeast"/>
        </w:trPr>
        <w:tc>
          <w:tcPr>
            <w:tcW w:w="772" w:type="dxa"/>
            <w:tcBorders>
              <w:top w:val="single" w:color="000000" w:sz="4" w:space="0"/>
              <w:left w:val="doub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Z19</w:t>
            </w: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w:t>
            </w: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9.39</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35.00</w:t>
            </w:r>
          </w:p>
        </w:tc>
        <w:tc>
          <w:tcPr>
            <w:tcW w:w="9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不液化</w:t>
            </w:r>
          </w:p>
        </w:tc>
      </w:tr>
      <w:tr>
        <w:tblPrEx>
          <w:tblCellMar>
            <w:top w:w="0" w:type="dxa"/>
            <w:left w:w="0" w:type="dxa"/>
            <w:bottom w:w="0" w:type="dxa"/>
            <w:right w:w="0" w:type="dxa"/>
          </w:tblCellMar>
        </w:tblPrEx>
        <w:trPr>
          <w:trHeight w:val="390" w:hRule="atLeast"/>
        </w:trPr>
        <w:tc>
          <w:tcPr>
            <w:tcW w:w="772" w:type="dxa"/>
            <w:tcBorders>
              <w:top w:val="single" w:color="000000" w:sz="4" w:space="0"/>
              <w:left w:val="doub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Z224</w:t>
            </w: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4-0-0</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粗砂</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7.80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8.18</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35.00</w:t>
            </w:r>
          </w:p>
        </w:tc>
        <w:tc>
          <w:tcPr>
            <w:tcW w:w="9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不液化</w:t>
            </w:r>
          </w:p>
        </w:tc>
      </w:tr>
      <w:tr>
        <w:tblPrEx>
          <w:tblCellMar>
            <w:top w:w="0" w:type="dxa"/>
            <w:left w:w="0" w:type="dxa"/>
            <w:bottom w:w="0" w:type="dxa"/>
            <w:right w:w="0" w:type="dxa"/>
          </w:tblCellMar>
        </w:tblPrEx>
        <w:trPr>
          <w:trHeight w:val="390" w:hRule="atLeast"/>
        </w:trPr>
        <w:tc>
          <w:tcPr>
            <w:tcW w:w="772" w:type="dxa"/>
            <w:tcBorders>
              <w:top w:val="single" w:color="000000" w:sz="4" w:space="0"/>
              <w:left w:val="doub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Z229</w:t>
            </w: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4-0-0</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粗砂</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7.20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8.18</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33.00</w:t>
            </w:r>
          </w:p>
        </w:tc>
        <w:tc>
          <w:tcPr>
            <w:tcW w:w="9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不液化</w:t>
            </w:r>
          </w:p>
        </w:tc>
      </w:tr>
      <w:tr>
        <w:tblPrEx>
          <w:tblCellMar>
            <w:top w:w="0" w:type="dxa"/>
            <w:left w:w="0" w:type="dxa"/>
            <w:bottom w:w="0" w:type="dxa"/>
            <w:right w:w="0" w:type="dxa"/>
          </w:tblCellMar>
        </w:tblPrEx>
        <w:trPr>
          <w:trHeight w:val="390" w:hRule="atLeast"/>
        </w:trPr>
        <w:tc>
          <w:tcPr>
            <w:tcW w:w="772" w:type="dxa"/>
            <w:tcBorders>
              <w:top w:val="single" w:color="000000" w:sz="4" w:space="0"/>
              <w:left w:val="doub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Z240</w:t>
            </w: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4-0-0</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粗砂</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7.20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8.18</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32.00</w:t>
            </w:r>
          </w:p>
        </w:tc>
        <w:tc>
          <w:tcPr>
            <w:tcW w:w="9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不液化</w:t>
            </w:r>
          </w:p>
        </w:tc>
      </w:tr>
      <w:tr>
        <w:tblPrEx>
          <w:tblCellMar>
            <w:top w:w="0" w:type="dxa"/>
            <w:left w:w="0" w:type="dxa"/>
            <w:bottom w:w="0" w:type="dxa"/>
            <w:right w:w="0" w:type="dxa"/>
          </w:tblCellMar>
        </w:tblPrEx>
        <w:trPr>
          <w:trHeight w:val="390" w:hRule="atLeast"/>
        </w:trPr>
        <w:tc>
          <w:tcPr>
            <w:tcW w:w="772" w:type="dxa"/>
            <w:tcBorders>
              <w:top w:val="single" w:color="000000" w:sz="4" w:space="0"/>
              <w:left w:val="doub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Z251</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4-0-0</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粗砂</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7.80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8.18</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33.00</w:t>
            </w:r>
          </w:p>
        </w:tc>
        <w:tc>
          <w:tcPr>
            <w:tcW w:w="9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不液化</w:t>
            </w:r>
          </w:p>
        </w:tc>
      </w:tr>
      <w:tr>
        <w:tblPrEx>
          <w:tblCellMar>
            <w:top w:w="0" w:type="dxa"/>
            <w:left w:w="0" w:type="dxa"/>
            <w:bottom w:w="0" w:type="dxa"/>
            <w:right w:w="0" w:type="dxa"/>
          </w:tblCellMar>
        </w:tblPrEx>
        <w:trPr>
          <w:trHeight w:val="390" w:hRule="atLeast"/>
        </w:trPr>
        <w:tc>
          <w:tcPr>
            <w:tcW w:w="772" w:type="dxa"/>
            <w:tcBorders>
              <w:top w:val="single" w:color="000000" w:sz="4" w:space="0"/>
              <w:left w:val="doub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Z261</w:t>
            </w: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4-0-0</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粗砂</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7.70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8.18</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29.00</w:t>
            </w:r>
          </w:p>
        </w:tc>
        <w:tc>
          <w:tcPr>
            <w:tcW w:w="9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不液化</w:t>
            </w:r>
          </w:p>
        </w:tc>
      </w:tr>
      <w:tr>
        <w:tblPrEx>
          <w:tblCellMar>
            <w:top w:w="0" w:type="dxa"/>
            <w:left w:w="0" w:type="dxa"/>
            <w:bottom w:w="0" w:type="dxa"/>
            <w:right w:w="0" w:type="dxa"/>
          </w:tblCellMar>
        </w:tblPrEx>
        <w:trPr>
          <w:trHeight w:val="390" w:hRule="atLeast"/>
        </w:trPr>
        <w:tc>
          <w:tcPr>
            <w:tcW w:w="772" w:type="dxa"/>
            <w:tcBorders>
              <w:top w:val="single" w:color="000000" w:sz="4" w:space="0"/>
              <w:left w:val="doub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Z271</w:t>
            </w: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4-0-0</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粗砂</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7.70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8.18</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35.00</w:t>
            </w:r>
          </w:p>
        </w:tc>
        <w:tc>
          <w:tcPr>
            <w:tcW w:w="9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不液化</w:t>
            </w:r>
          </w:p>
        </w:tc>
      </w:tr>
      <w:tr>
        <w:tblPrEx>
          <w:tblCellMar>
            <w:top w:w="0" w:type="dxa"/>
            <w:left w:w="0" w:type="dxa"/>
            <w:bottom w:w="0" w:type="dxa"/>
            <w:right w:w="0" w:type="dxa"/>
          </w:tblCellMar>
        </w:tblPrEx>
        <w:trPr>
          <w:trHeight w:val="390" w:hRule="atLeast"/>
        </w:trPr>
        <w:tc>
          <w:tcPr>
            <w:tcW w:w="772" w:type="dxa"/>
            <w:tcBorders>
              <w:top w:val="single" w:color="000000" w:sz="4" w:space="0"/>
              <w:left w:val="doub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Z28</w:t>
            </w: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4-0-0</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粗砂</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5.80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7.47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33.00</w:t>
            </w:r>
          </w:p>
        </w:tc>
        <w:tc>
          <w:tcPr>
            <w:tcW w:w="9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不液化</w:t>
            </w:r>
          </w:p>
        </w:tc>
      </w:tr>
      <w:tr>
        <w:tblPrEx>
          <w:tblCellMar>
            <w:top w:w="0" w:type="dxa"/>
            <w:left w:w="0" w:type="dxa"/>
            <w:bottom w:w="0" w:type="dxa"/>
            <w:right w:w="0" w:type="dxa"/>
          </w:tblCellMar>
        </w:tblPrEx>
        <w:trPr>
          <w:trHeight w:val="390" w:hRule="atLeast"/>
        </w:trPr>
        <w:tc>
          <w:tcPr>
            <w:tcW w:w="772" w:type="dxa"/>
            <w:tcBorders>
              <w:top w:val="single" w:color="000000" w:sz="4" w:space="0"/>
              <w:left w:val="doub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Z281</w:t>
            </w: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4-0-0</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粗砂</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6.80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8.18</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32.00</w:t>
            </w:r>
          </w:p>
        </w:tc>
        <w:tc>
          <w:tcPr>
            <w:tcW w:w="9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不液化</w:t>
            </w:r>
          </w:p>
        </w:tc>
      </w:tr>
      <w:tr>
        <w:tblPrEx>
          <w:tblCellMar>
            <w:top w:w="0" w:type="dxa"/>
            <w:left w:w="0" w:type="dxa"/>
            <w:bottom w:w="0" w:type="dxa"/>
            <w:right w:w="0" w:type="dxa"/>
          </w:tblCellMar>
        </w:tblPrEx>
        <w:trPr>
          <w:trHeight w:val="390" w:hRule="atLeast"/>
        </w:trPr>
        <w:tc>
          <w:tcPr>
            <w:tcW w:w="772" w:type="dxa"/>
            <w:tcBorders>
              <w:top w:val="single" w:color="000000" w:sz="4" w:space="0"/>
              <w:left w:val="doub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Z289</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4-0-0</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粗砂</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7.10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8.18</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34.00</w:t>
            </w:r>
          </w:p>
        </w:tc>
        <w:tc>
          <w:tcPr>
            <w:tcW w:w="9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不液化</w:t>
            </w:r>
          </w:p>
        </w:tc>
      </w:tr>
      <w:tr>
        <w:tblPrEx>
          <w:tblCellMar>
            <w:top w:w="0" w:type="dxa"/>
            <w:left w:w="0" w:type="dxa"/>
            <w:bottom w:w="0" w:type="dxa"/>
            <w:right w:w="0" w:type="dxa"/>
          </w:tblCellMar>
        </w:tblPrEx>
        <w:trPr>
          <w:trHeight w:val="390" w:hRule="atLeast"/>
        </w:trPr>
        <w:tc>
          <w:tcPr>
            <w:tcW w:w="772" w:type="dxa"/>
            <w:tcBorders>
              <w:top w:val="single" w:color="000000" w:sz="4" w:space="0"/>
              <w:left w:val="doub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Z296</w:t>
            </w: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4-0-0</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粗砂</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7.60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8.18</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35.00</w:t>
            </w:r>
          </w:p>
        </w:tc>
        <w:tc>
          <w:tcPr>
            <w:tcW w:w="9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不液化</w:t>
            </w:r>
          </w:p>
        </w:tc>
      </w:tr>
      <w:tr>
        <w:tblPrEx>
          <w:tblCellMar>
            <w:top w:w="0" w:type="dxa"/>
            <w:left w:w="0" w:type="dxa"/>
            <w:bottom w:w="0" w:type="dxa"/>
            <w:right w:w="0" w:type="dxa"/>
          </w:tblCellMar>
        </w:tblPrEx>
        <w:trPr>
          <w:trHeight w:val="390" w:hRule="atLeast"/>
        </w:trPr>
        <w:tc>
          <w:tcPr>
            <w:tcW w:w="772" w:type="dxa"/>
            <w:tcBorders>
              <w:top w:val="single" w:color="000000" w:sz="4" w:space="0"/>
              <w:left w:val="doub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Z301</w:t>
            </w: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4-0-0</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粗砂</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7.80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8.18</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35.00</w:t>
            </w:r>
          </w:p>
        </w:tc>
        <w:tc>
          <w:tcPr>
            <w:tcW w:w="9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不液化</w:t>
            </w:r>
          </w:p>
        </w:tc>
      </w:tr>
      <w:tr>
        <w:tblPrEx>
          <w:tblCellMar>
            <w:top w:w="0" w:type="dxa"/>
            <w:left w:w="0" w:type="dxa"/>
            <w:bottom w:w="0" w:type="dxa"/>
            <w:right w:w="0" w:type="dxa"/>
          </w:tblCellMar>
        </w:tblPrEx>
        <w:trPr>
          <w:trHeight w:val="390" w:hRule="atLeast"/>
        </w:trPr>
        <w:tc>
          <w:tcPr>
            <w:tcW w:w="772" w:type="dxa"/>
            <w:tcBorders>
              <w:top w:val="single" w:color="000000" w:sz="4" w:space="0"/>
              <w:left w:val="doub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Z44</w:t>
            </w: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4-0-0</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粗砂</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7.50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8.82</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31.00</w:t>
            </w:r>
          </w:p>
        </w:tc>
        <w:tc>
          <w:tcPr>
            <w:tcW w:w="9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不液化</w:t>
            </w:r>
          </w:p>
        </w:tc>
      </w:tr>
      <w:tr>
        <w:tblPrEx>
          <w:tblCellMar>
            <w:top w:w="0" w:type="dxa"/>
            <w:left w:w="0" w:type="dxa"/>
            <w:bottom w:w="0" w:type="dxa"/>
            <w:right w:w="0" w:type="dxa"/>
          </w:tblCellMar>
        </w:tblPrEx>
        <w:trPr>
          <w:trHeight w:val="390" w:hRule="atLeast"/>
        </w:trPr>
        <w:tc>
          <w:tcPr>
            <w:tcW w:w="772" w:type="dxa"/>
            <w:tcBorders>
              <w:top w:val="single" w:color="000000" w:sz="4" w:space="0"/>
              <w:left w:val="doub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Z55</w:t>
            </w: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4-0-0</w:t>
            </w: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粗砂</w:t>
            </w: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7.60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7.47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28.00</w:t>
            </w:r>
          </w:p>
        </w:tc>
        <w:tc>
          <w:tcPr>
            <w:tcW w:w="9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不液化</w:t>
            </w:r>
          </w:p>
        </w:tc>
      </w:tr>
      <w:tr>
        <w:tblPrEx>
          <w:tblCellMar>
            <w:top w:w="0" w:type="dxa"/>
            <w:left w:w="0" w:type="dxa"/>
            <w:bottom w:w="0" w:type="dxa"/>
            <w:right w:w="0" w:type="dxa"/>
          </w:tblCellMar>
        </w:tblPrEx>
        <w:trPr>
          <w:trHeight w:val="390" w:hRule="atLeast"/>
        </w:trPr>
        <w:tc>
          <w:tcPr>
            <w:tcW w:w="772" w:type="dxa"/>
            <w:tcBorders>
              <w:top w:val="single" w:color="000000" w:sz="4" w:space="0"/>
              <w:left w:val="doub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Z55</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w:t>
            </w: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8.82</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38.00</w:t>
            </w:r>
          </w:p>
        </w:tc>
        <w:tc>
          <w:tcPr>
            <w:tcW w:w="9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不液化</w:t>
            </w:r>
          </w:p>
        </w:tc>
      </w:tr>
      <w:tr>
        <w:tblPrEx>
          <w:tblCellMar>
            <w:top w:w="0" w:type="dxa"/>
            <w:left w:w="0" w:type="dxa"/>
            <w:bottom w:w="0" w:type="dxa"/>
            <w:right w:w="0" w:type="dxa"/>
          </w:tblCellMar>
        </w:tblPrEx>
        <w:trPr>
          <w:trHeight w:val="390" w:hRule="atLeast"/>
        </w:trPr>
        <w:tc>
          <w:tcPr>
            <w:tcW w:w="772" w:type="dxa"/>
            <w:tcBorders>
              <w:top w:val="single" w:color="000000" w:sz="4" w:space="0"/>
              <w:left w:val="doub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Z6</w:t>
            </w: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w:t>
            </w: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4-0-0</w:t>
            </w: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粗砂</w:t>
            </w: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7.30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7.47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45.00</w:t>
            </w:r>
          </w:p>
        </w:tc>
        <w:tc>
          <w:tcPr>
            <w:tcW w:w="9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不液化</w:t>
            </w:r>
          </w:p>
        </w:tc>
      </w:tr>
      <w:tr>
        <w:tblPrEx>
          <w:tblCellMar>
            <w:top w:w="0" w:type="dxa"/>
            <w:left w:w="0" w:type="dxa"/>
            <w:bottom w:w="0" w:type="dxa"/>
            <w:right w:w="0" w:type="dxa"/>
          </w:tblCellMar>
        </w:tblPrEx>
        <w:trPr>
          <w:trHeight w:val="390" w:hRule="atLeast"/>
        </w:trPr>
        <w:tc>
          <w:tcPr>
            <w:tcW w:w="772" w:type="dxa"/>
            <w:tcBorders>
              <w:top w:val="single" w:color="000000" w:sz="4" w:space="0"/>
              <w:left w:val="doub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Z6</w:t>
            </w: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8.82</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42.00</w:t>
            </w:r>
          </w:p>
        </w:tc>
        <w:tc>
          <w:tcPr>
            <w:tcW w:w="9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不液化</w:t>
            </w:r>
          </w:p>
        </w:tc>
      </w:tr>
      <w:tr>
        <w:tblPrEx>
          <w:tblCellMar>
            <w:top w:w="0" w:type="dxa"/>
            <w:left w:w="0" w:type="dxa"/>
            <w:bottom w:w="0" w:type="dxa"/>
            <w:right w:w="0" w:type="dxa"/>
          </w:tblCellMar>
        </w:tblPrEx>
        <w:trPr>
          <w:trHeight w:val="390" w:hRule="atLeast"/>
        </w:trPr>
        <w:tc>
          <w:tcPr>
            <w:tcW w:w="772" w:type="dxa"/>
            <w:tcBorders>
              <w:top w:val="single" w:color="000000" w:sz="4" w:space="0"/>
              <w:left w:val="doub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Z66</w:t>
            </w: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w:t>
            </w: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4-0-0</w:t>
            </w: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粗砂</w:t>
            </w: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8.18</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28.00</w:t>
            </w:r>
          </w:p>
        </w:tc>
        <w:tc>
          <w:tcPr>
            <w:tcW w:w="9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不液化</w:t>
            </w:r>
          </w:p>
        </w:tc>
      </w:tr>
      <w:tr>
        <w:tblPrEx>
          <w:tblCellMar>
            <w:top w:w="0" w:type="dxa"/>
            <w:left w:w="0" w:type="dxa"/>
            <w:bottom w:w="0" w:type="dxa"/>
            <w:right w:w="0" w:type="dxa"/>
          </w:tblCellMar>
        </w:tblPrEx>
        <w:trPr>
          <w:trHeight w:val="390" w:hRule="atLeast"/>
        </w:trPr>
        <w:tc>
          <w:tcPr>
            <w:tcW w:w="772" w:type="dxa"/>
            <w:tcBorders>
              <w:top w:val="single" w:color="000000" w:sz="4" w:space="0"/>
              <w:left w:val="doub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Z66</w:t>
            </w: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0"/>
                <w:szCs w:val="20"/>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9.39</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33.00</w:t>
            </w:r>
          </w:p>
        </w:tc>
        <w:tc>
          <w:tcPr>
            <w:tcW w:w="9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不液化</w:t>
            </w:r>
          </w:p>
        </w:tc>
      </w:tr>
      <w:tr>
        <w:tblPrEx>
          <w:tblCellMar>
            <w:top w:w="0" w:type="dxa"/>
            <w:left w:w="0" w:type="dxa"/>
            <w:bottom w:w="0" w:type="dxa"/>
            <w:right w:w="0" w:type="dxa"/>
          </w:tblCellMar>
        </w:tblPrEx>
        <w:trPr>
          <w:trHeight w:val="390" w:hRule="atLeast"/>
        </w:trPr>
        <w:tc>
          <w:tcPr>
            <w:tcW w:w="772" w:type="dxa"/>
            <w:tcBorders>
              <w:top w:val="single" w:color="000000" w:sz="4" w:space="0"/>
              <w:left w:val="doub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Z72</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4-0-0</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粗砂</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7.20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8.18</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33.00</w:t>
            </w:r>
          </w:p>
        </w:tc>
        <w:tc>
          <w:tcPr>
            <w:tcW w:w="9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不液化</w:t>
            </w:r>
          </w:p>
        </w:tc>
      </w:tr>
    </w:tbl>
    <w:p>
      <w:pPr>
        <w:jc w:val="left"/>
      </w:pPr>
      <w:r>
        <w:rPr>
          <w:rFonts w:hint="eastAsia"/>
        </w:rPr>
        <w:t>注：地下水位深度</w:t>
      </w:r>
      <w:r>
        <w:t>dw</w:t>
      </w:r>
      <w:r>
        <w:rPr>
          <w:rFonts w:hint="eastAsia"/>
        </w:rPr>
        <w:t>按近期内年最高水位。</w:t>
      </w:r>
    </w:p>
    <w:p>
      <w:pPr>
        <w:ind w:firstLine="480"/>
      </w:pPr>
      <w:r>
        <w:rPr>
          <w:rFonts w:hint="eastAsia"/>
        </w:rPr>
        <w:t>根据液化计算结果，第</w:t>
      </w:r>
      <w:r>
        <w:rPr>
          <w:rFonts w:hint="eastAsia"/>
          <w:lang w:eastAsia="zh-CN"/>
        </w:rPr>
        <w:t>④</w:t>
      </w:r>
      <w:r>
        <w:rPr>
          <w:rFonts w:hint="eastAsia"/>
        </w:rPr>
        <w:t>层粗砂为不液化，故场地可不考虑液化影响。</w:t>
      </w:r>
    </w:p>
    <w:p>
      <w:pPr>
        <w:pStyle w:val="52"/>
        <w:numPr>
          <w:ilvl w:val="0"/>
          <w:numId w:val="0"/>
        </w:numPr>
        <w:rPr>
          <w:sz w:val="24"/>
          <w:lang w:val="zh-CN"/>
        </w:rPr>
      </w:pPr>
      <w:r>
        <w:rPr>
          <w:rFonts w:hint="eastAsia"/>
          <w:sz w:val="24"/>
          <w:lang w:val="zh-CN"/>
        </w:rPr>
        <w:t>3.3.4.建筑抗震地段类别划分</w:t>
      </w:r>
    </w:p>
    <w:p>
      <w:pPr>
        <w:spacing w:line="360" w:lineRule="auto"/>
        <w:ind w:firstLine="480" w:firstLineChars="200"/>
        <w:rPr>
          <w:sz w:val="24"/>
        </w:rPr>
      </w:pPr>
      <w:r>
        <w:rPr>
          <w:rFonts w:hint="eastAsia"/>
          <w:sz w:val="24"/>
        </w:rPr>
        <w:t>根据《建筑抗震设计规范》</w:t>
      </w:r>
      <w:r>
        <w:rPr>
          <w:sz w:val="24"/>
        </w:rPr>
        <w:t>GB50011</w:t>
      </w:r>
      <w:r>
        <w:rPr>
          <w:rFonts w:hint="eastAsia"/>
          <w:sz w:val="24"/>
        </w:rPr>
        <w:t>-</w:t>
      </w:r>
      <w:r>
        <w:rPr>
          <w:sz w:val="24"/>
        </w:rPr>
        <w:t>20</w:t>
      </w:r>
      <w:r>
        <w:rPr>
          <w:rFonts w:hint="eastAsia"/>
          <w:sz w:val="24"/>
        </w:rPr>
        <w:t>10(2016年版)之相关规定并结合场地工程地质条件综合判定：拟建工程场地勘察深度范围内不存在软弱黏性土层和液化土层等，场地土类型为中软土-软质岩石，地质构造相对稳定，无近晚期活动性断裂，故属于建筑抗震一般地段。</w:t>
      </w:r>
    </w:p>
    <w:p>
      <w:pPr>
        <w:pStyle w:val="3"/>
        <w:keepNext w:val="0"/>
        <w:keepLines w:val="0"/>
        <w:spacing w:before="0" w:after="0" w:line="480" w:lineRule="auto"/>
        <w:jc w:val="left"/>
        <w:rPr>
          <w:rFonts w:ascii="Times New Roman" w:hAnsi="Times New Roman" w:eastAsia="黑体" w:cstheme="majorBidi"/>
          <w:sz w:val="28"/>
        </w:rPr>
      </w:pPr>
      <w:bookmarkStart w:id="27" w:name="_Toc10468520"/>
      <w:r>
        <w:rPr>
          <w:rFonts w:hint="eastAsia" w:ascii="Times New Roman" w:hAnsi="Times New Roman" w:eastAsia="黑体" w:cstheme="majorBidi"/>
          <w:sz w:val="28"/>
        </w:rPr>
        <w:t>3.4.标准冻深及冻胀评价</w:t>
      </w:r>
      <w:bookmarkEnd w:id="27"/>
    </w:p>
    <w:p>
      <w:pPr>
        <w:spacing w:line="360" w:lineRule="auto"/>
        <w:rPr>
          <w:sz w:val="24"/>
        </w:rPr>
      </w:pPr>
      <w:r>
        <w:rPr>
          <w:rFonts w:hint="eastAsia"/>
          <w:b/>
          <w:sz w:val="24"/>
        </w:rPr>
        <w:t>3.4.1.</w:t>
      </w:r>
      <w:r>
        <w:rPr>
          <w:rFonts w:hint="eastAsia"/>
          <w:sz w:val="24"/>
        </w:rPr>
        <w:t>根据《中国季节性冻土标准冻深线图》，场地的标准冻深为</w:t>
      </w:r>
      <w:r>
        <w:rPr>
          <w:sz w:val="24"/>
        </w:rPr>
        <w:t>1.70m</w:t>
      </w:r>
      <w:r>
        <w:rPr>
          <w:rFonts w:hint="eastAsia"/>
          <w:sz w:val="24"/>
        </w:rPr>
        <w:t>。</w:t>
      </w:r>
    </w:p>
    <w:p>
      <w:pPr>
        <w:spacing w:line="360" w:lineRule="auto"/>
        <w:rPr>
          <w:sz w:val="24"/>
        </w:rPr>
      </w:pPr>
      <w:r>
        <w:rPr>
          <w:rFonts w:hint="eastAsia"/>
          <w:b/>
          <w:sz w:val="24"/>
        </w:rPr>
        <w:t>3.4.2.</w:t>
      </w:r>
      <w:r>
        <w:rPr>
          <w:rFonts w:hint="eastAsia"/>
          <w:sz w:val="24"/>
        </w:rPr>
        <w:t>冻胀性评价：建筑场地冻胀性主要考虑第①层</w:t>
      </w:r>
      <w:r>
        <w:rPr>
          <w:rFonts w:hint="eastAsia"/>
          <w:sz w:val="24"/>
          <w:lang w:eastAsia="zh-CN"/>
        </w:rPr>
        <w:t>杂</w:t>
      </w:r>
      <w:r>
        <w:rPr>
          <w:rFonts w:hint="eastAsia"/>
          <w:sz w:val="24"/>
        </w:rPr>
        <w:t>填土、第</w:t>
      </w:r>
      <w:r>
        <w:rPr>
          <w:sz w:val="24"/>
        </w:rPr>
        <w:fldChar w:fldCharType="begin"/>
      </w:r>
      <w:r>
        <w:rPr>
          <w:sz w:val="24"/>
        </w:rPr>
        <w:instrText xml:space="preserve"> </w:instrText>
      </w:r>
      <w:r>
        <w:rPr>
          <w:rFonts w:hint="eastAsia"/>
          <w:sz w:val="24"/>
        </w:rPr>
        <w:instrText xml:space="preserve">= 2 \* GB3</w:instrText>
      </w:r>
      <w:r>
        <w:rPr>
          <w:sz w:val="24"/>
        </w:rPr>
        <w:instrText xml:space="preserve"> </w:instrText>
      </w:r>
      <w:r>
        <w:rPr>
          <w:sz w:val="24"/>
        </w:rPr>
        <w:fldChar w:fldCharType="separate"/>
      </w:r>
      <w:r>
        <w:rPr>
          <w:rFonts w:hint="eastAsia"/>
          <w:sz w:val="24"/>
        </w:rPr>
        <w:t>②</w:t>
      </w:r>
      <w:r>
        <w:rPr>
          <w:sz w:val="24"/>
        </w:rPr>
        <w:fldChar w:fldCharType="end"/>
      </w:r>
      <w:r>
        <w:rPr>
          <w:rFonts w:hint="eastAsia"/>
          <w:sz w:val="24"/>
        </w:rPr>
        <w:t>层粉质黏土、第③层粉质黏土，冻结期间地下水位距冻结面的最小距离小于</w:t>
      </w:r>
      <w:r>
        <w:rPr>
          <w:sz w:val="24"/>
        </w:rPr>
        <w:t>2.0m</w:t>
      </w:r>
      <w:r>
        <w:rPr>
          <w:rFonts w:hint="eastAsia"/>
          <w:sz w:val="24"/>
        </w:rPr>
        <w:t>，按</w:t>
      </w:r>
      <w:r>
        <w:rPr>
          <w:sz w:val="24"/>
        </w:rPr>
        <w:t>《建筑地基基础设计规范》（GB50007-20</w:t>
      </w:r>
      <w:r>
        <w:rPr>
          <w:rFonts w:hint="eastAsia"/>
          <w:sz w:val="24"/>
        </w:rPr>
        <w:t>11</w:t>
      </w:r>
      <w:r>
        <w:rPr>
          <w:sz w:val="24"/>
        </w:rPr>
        <w:t>）第5.1.6款规定</w:t>
      </w:r>
      <w:r>
        <w:rPr>
          <w:rFonts w:hint="eastAsia"/>
          <w:sz w:val="24"/>
        </w:rPr>
        <w:t>：</w:t>
      </w:r>
    </w:p>
    <w:p>
      <w:pPr>
        <w:spacing w:line="360" w:lineRule="auto"/>
        <w:ind w:firstLine="480" w:firstLineChars="200"/>
        <w:rPr>
          <w:sz w:val="24"/>
        </w:rPr>
      </w:pPr>
      <w:r>
        <w:rPr>
          <w:sz w:val="24"/>
        </w:rPr>
        <w:t>第</w:t>
      </w:r>
      <w:r>
        <w:rPr>
          <w:rFonts w:hint="eastAsia"/>
          <w:sz w:val="24"/>
        </w:rPr>
        <w:t>①层</w:t>
      </w:r>
      <w:r>
        <w:rPr>
          <w:rFonts w:hint="eastAsia"/>
          <w:sz w:val="24"/>
          <w:lang w:eastAsia="zh-CN"/>
        </w:rPr>
        <w:t>杂</w:t>
      </w:r>
      <w:r>
        <w:rPr>
          <w:rFonts w:hint="eastAsia"/>
          <w:sz w:val="24"/>
        </w:rPr>
        <w:t>填土，属强冻胀土，依据经验判定</w:t>
      </w:r>
    </w:p>
    <w:p>
      <w:pPr>
        <w:spacing w:line="360" w:lineRule="auto"/>
        <w:ind w:firstLine="480" w:firstLineChars="200"/>
        <w:rPr>
          <w:rFonts w:hint="eastAsia"/>
          <w:sz w:val="24"/>
          <w:lang w:eastAsia="zh-CN"/>
        </w:rPr>
      </w:pPr>
      <w:r>
        <w:rPr>
          <w:rFonts w:hint="eastAsia"/>
          <w:sz w:val="24"/>
        </w:rPr>
        <w:t>第②层粉质黏土</w:t>
      </w:r>
      <w:r>
        <w:rPr>
          <w:rFonts w:hint="eastAsia"/>
          <w:sz w:val="24"/>
          <w:lang w:eastAsia="zh-CN"/>
        </w:rPr>
        <w:t>，w=</w:t>
      </w:r>
      <w:r>
        <w:rPr>
          <w:rFonts w:hint="eastAsia"/>
          <w:sz w:val="24"/>
          <w:lang w:val="en-US" w:eastAsia="zh-CN"/>
        </w:rPr>
        <w:t>30.1</w:t>
      </w:r>
      <w:r>
        <w:rPr>
          <w:rFonts w:hint="eastAsia"/>
          <w:sz w:val="24"/>
          <w:lang w:eastAsia="zh-CN"/>
        </w:rPr>
        <w:t>，wp=2</w:t>
      </w:r>
      <w:r>
        <w:rPr>
          <w:rFonts w:hint="eastAsia"/>
          <w:sz w:val="24"/>
          <w:lang w:val="en-US" w:eastAsia="zh-CN"/>
        </w:rPr>
        <w:t>1.1</w:t>
      </w:r>
      <w:r>
        <w:rPr>
          <w:rFonts w:hint="eastAsia"/>
          <w:sz w:val="24"/>
          <w:lang w:eastAsia="zh-CN"/>
        </w:rPr>
        <w:t>，wp +</w:t>
      </w:r>
      <w:r>
        <w:rPr>
          <w:rFonts w:hint="eastAsia"/>
          <w:sz w:val="24"/>
          <w:lang w:val="en-US" w:eastAsia="zh-CN"/>
        </w:rPr>
        <w:t>5</w:t>
      </w:r>
      <w:r>
        <w:rPr>
          <w:rFonts w:hint="eastAsia"/>
          <w:sz w:val="24"/>
          <w:lang w:eastAsia="zh-CN"/>
        </w:rPr>
        <w:t>＜w≤wp+</w:t>
      </w:r>
      <w:r>
        <w:rPr>
          <w:rFonts w:hint="eastAsia"/>
          <w:sz w:val="24"/>
          <w:lang w:val="en-US" w:eastAsia="zh-CN"/>
        </w:rPr>
        <w:t>9</w:t>
      </w:r>
      <w:r>
        <w:rPr>
          <w:rFonts w:hint="eastAsia"/>
          <w:sz w:val="24"/>
          <w:lang w:eastAsia="zh-CN"/>
        </w:rPr>
        <w:t xml:space="preserve"> ，属强冻胀土，冻胀等级</w:t>
      </w:r>
      <w:r>
        <w:rPr>
          <w:rFonts w:hint="eastAsia"/>
          <w:sz w:val="24"/>
          <w:lang w:val="en-US" w:eastAsia="zh-CN"/>
        </w:rPr>
        <w:t>IV</w:t>
      </w:r>
      <w:r>
        <w:rPr>
          <w:rFonts w:hint="eastAsia"/>
          <w:sz w:val="24"/>
          <w:lang w:eastAsia="zh-CN"/>
        </w:rPr>
        <w:t>级；</w:t>
      </w:r>
    </w:p>
    <w:p>
      <w:pPr>
        <w:spacing w:line="360" w:lineRule="auto"/>
        <w:ind w:firstLine="480" w:firstLineChars="200"/>
        <w:rPr>
          <w:rFonts w:hint="eastAsia"/>
          <w:sz w:val="24"/>
        </w:rPr>
      </w:pPr>
      <w:r>
        <w:rPr>
          <w:rFonts w:hint="eastAsia"/>
          <w:sz w:val="24"/>
          <w:lang w:eastAsia="zh-CN"/>
        </w:rPr>
        <w:t>第③层粉质黏土，w=</w:t>
      </w:r>
      <w:r>
        <w:rPr>
          <w:rFonts w:hint="eastAsia"/>
          <w:sz w:val="24"/>
          <w:lang w:val="en-US" w:eastAsia="zh-CN"/>
        </w:rPr>
        <w:t>32.9</w:t>
      </w:r>
      <w:r>
        <w:rPr>
          <w:rFonts w:hint="eastAsia"/>
          <w:sz w:val="24"/>
          <w:lang w:eastAsia="zh-CN"/>
        </w:rPr>
        <w:t>，wp=</w:t>
      </w:r>
      <w:r>
        <w:rPr>
          <w:rFonts w:hint="eastAsia"/>
          <w:sz w:val="24"/>
          <w:lang w:val="en-US" w:eastAsia="zh-CN"/>
        </w:rPr>
        <w:t>20.7</w:t>
      </w:r>
      <w:r>
        <w:rPr>
          <w:rFonts w:hint="eastAsia"/>
          <w:sz w:val="24"/>
          <w:lang w:eastAsia="zh-CN"/>
        </w:rPr>
        <w:t>，wp +9＜w≤wp +15 ，属特强冻胀土</w:t>
      </w:r>
      <w:r>
        <w:rPr>
          <w:rFonts w:hint="eastAsia"/>
          <w:sz w:val="24"/>
        </w:rPr>
        <w:t>，冻胀等级</w:t>
      </w:r>
      <w:r>
        <w:rPr>
          <w:rFonts w:hint="eastAsia"/>
          <w:sz w:val="24"/>
          <w:lang w:val="en-US" w:eastAsia="zh-CN"/>
        </w:rPr>
        <w:t>V</w:t>
      </w:r>
      <w:r>
        <w:rPr>
          <w:rFonts w:hint="eastAsia"/>
          <w:sz w:val="24"/>
        </w:rPr>
        <w:t>级；</w:t>
      </w:r>
    </w:p>
    <w:p>
      <w:pPr>
        <w:spacing w:line="360" w:lineRule="auto"/>
        <w:ind w:firstLine="480" w:firstLineChars="200"/>
        <w:rPr>
          <w:rFonts w:hint="eastAsia" w:eastAsia="宋体"/>
          <w:sz w:val="24"/>
          <w:lang w:eastAsia="zh-CN"/>
        </w:rPr>
      </w:pPr>
      <w:r>
        <w:rPr>
          <w:rFonts w:hint="eastAsia"/>
          <w:sz w:val="24"/>
          <w:lang w:eastAsia="zh-CN"/>
        </w:rPr>
        <w:t>第④层粗砂，属不</w:t>
      </w:r>
      <w:r>
        <w:rPr>
          <w:rFonts w:hint="eastAsia"/>
          <w:sz w:val="24"/>
        </w:rPr>
        <w:t>冻胀土</w:t>
      </w:r>
      <w:r>
        <w:rPr>
          <w:rFonts w:hint="eastAsia"/>
          <w:sz w:val="24"/>
          <w:lang w:eastAsia="zh-CN"/>
        </w:rPr>
        <w:t>。</w:t>
      </w:r>
    </w:p>
    <w:p>
      <w:pPr>
        <w:spacing w:line="360" w:lineRule="auto"/>
        <w:ind w:firstLine="480" w:firstLineChars="200"/>
        <w:rPr>
          <w:sz w:val="24"/>
        </w:rPr>
      </w:pPr>
      <w:r>
        <w:rPr>
          <w:sz w:val="24"/>
        </w:rPr>
        <w:t>防冻胀措施应执行《建筑地基基础设计规范》（GB50007-2011）的5.1.9条款及《建筑桩基技术规范》（JGJ94-2008）的3.4.3.4条款的规定。</w:t>
      </w:r>
    </w:p>
    <w:p>
      <w:pPr>
        <w:pStyle w:val="3"/>
        <w:keepNext w:val="0"/>
        <w:keepLines w:val="0"/>
        <w:spacing w:before="0" w:after="0" w:line="480" w:lineRule="auto"/>
        <w:jc w:val="left"/>
        <w:rPr>
          <w:rFonts w:ascii="Times New Roman" w:hAnsi="Times New Roman" w:eastAsia="黑体" w:cstheme="majorBidi"/>
          <w:sz w:val="28"/>
        </w:rPr>
      </w:pPr>
      <w:bookmarkStart w:id="28" w:name="_Toc10468521"/>
      <w:r>
        <w:rPr>
          <w:rFonts w:hint="eastAsia" w:ascii="Times New Roman" w:hAnsi="Times New Roman" w:eastAsia="黑体" w:cstheme="majorBidi"/>
          <w:sz w:val="28"/>
        </w:rPr>
        <w:t>3.5.场地稳定性和适宜性评价</w:t>
      </w:r>
      <w:bookmarkEnd w:id="28"/>
    </w:p>
    <w:p>
      <w:pPr>
        <w:spacing w:line="360" w:lineRule="auto"/>
        <w:ind w:firstLine="480" w:firstLineChars="200"/>
        <w:rPr>
          <w:b/>
          <w:bCs/>
        </w:rPr>
      </w:pPr>
      <w:r>
        <w:rPr>
          <w:sz w:val="24"/>
        </w:rPr>
        <w:t>据对区域地质资料及本次勘察结果分析：拟建场地附近无全新世活动断裂带通过，属稳定场地；从区域地质构造特征、新构造运动、历史地震活动、不良地质作用及其他特殊岩土等分析，拟建场地区域稳定性、场地稳定性均良好，适宜本工程建设。</w:t>
      </w:r>
    </w:p>
    <w:p>
      <w:pPr>
        <w:pStyle w:val="3"/>
        <w:keepNext w:val="0"/>
        <w:keepLines w:val="0"/>
        <w:spacing w:before="0" w:after="0" w:line="480" w:lineRule="auto"/>
        <w:jc w:val="left"/>
        <w:rPr>
          <w:rFonts w:ascii="Times New Roman" w:hAnsi="Times New Roman" w:eastAsia="黑体" w:cstheme="majorBidi"/>
          <w:sz w:val="28"/>
        </w:rPr>
      </w:pPr>
      <w:bookmarkStart w:id="29" w:name="_Toc10468522"/>
      <w:r>
        <w:rPr>
          <w:rFonts w:hint="eastAsia" w:ascii="Times New Roman" w:hAnsi="Times New Roman" w:eastAsia="黑体" w:cstheme="majorBidi"/>
          <w:sz w:val="28"/>
        </w:rPr>
        <w:t>3.6.岩土参数统计分析</w:t>
      </w:r>
      <w:bookmarkEnd w:id="29"/>
    </w:p>
    <w:p>
      <w:pPr>
        <w:pStyle w:val="52"/>
        <w:numPr>
          <w:ilvl w:val="0"/>
          <w:numId w:val="0"/>
        </w:numPr>
        <w:rPr>
          <w:sz w:val="24"/>
          <w:lang w:val="zh-CN"/>
        </w:rPr>
      </w:pPr>
      <w:r>
        <w:rPr>
          <w:sz w:val="24"/>
          <w:lang w:val="zh-CN"/>
        </w:rPr>
        <w:t>3.</w:t>
      </w:r>
      <w:r>
        <w:rPr>
          <w:rFonts w:hint="eastAsia"/>
          <w:sz w:val="24"/>
          <w:lang w:val="zh-CN"/>
        </w:rPr>
        <w:t>6</w:t>
      </w:r>
      <w:r>
        <w:rPr>
          <w:sz w:val="24"/>
          <w:lang w:val="zh-CN"/>
        </w:rPr>
        <w:t>.</w:t>
      </w:r>
      <w:r>
        <w:rPr>
          <w:rFonts w:hint="eastAsia"/>
          <w:sz w:val="24"/>
          <w:lang w:val="zh-CN"/>
        </w:rPr>
        <w:t>1.</w:t>
      </w:r>
      <w:r>
        <w:rPr>
          <w:sz w:val="24"/>
          <w:lang w:val="zh-CN"/>
        </w:rPr>
        <w:t>岩土参数的可靠性及适宜性评价</w:t>
      </w:r>
    </w:p>
    <w:p>
      <w:pPr>
        <w:spacing w:line="360" w:lineRule="auto"/>
        <w:ind w:firstLine="480" w:firstLineChars="200"/>
        <w:rPr>
          <w:sz w:val="24"/>
        </w:rPr>
      </w:pPr>
      <w:r>
        <w:rPr>
          <w:rFonts w:hint="eastAsia"/>
          <w:sz w:val="24"/>
        </w:rPr>
        <w:t>本次勘察通过原位测试（包括标准贯入试验、波速测试）、室内试验等多种手段，按相应规范进行采集、取样、测试、试验。</w:t>
      </w:r>
    </w:p>
    <w:p>
      <w:pPr>
        <w:spacing w:line="360" w:lineRule="auto"/>
        <w:ind w:firstLine="480" w:firstLineChars="200"/>
        <w:rPr>
          <w:sz w:val="24"/>
        </w:rPr>
      </w:pPr>
      <w:r>
        <w:rPr>
          <w:rFonts w:hint="eastAsia"/>
          <w:sz w:val="24"/>
        </w:rPr>
        <w:t>岩土测试、试验参数的统计原则为：根据场区地层沉积分布规律划分地层，充分考虑了取样、试验操作等因素对测试成果的影响，认真筛选土层测试、试验指标，剔除明显不合理数据后，采集数理统计方法得出参数的算数平均值、最大值、最小值、标准值、变异系数等统计指标，具体方法为：用统计检验逐个判别数据样本是否属于同一母体，对由于过失误差造成的异常试验数据将予以舍弃；综合分析各层的物理力学指标，分析数据的可信程度，剔除异常值；以各个参数的变异系数验证分层的合理性。若变异系数超出范围，则重新统计分层。通过对土工试验参数及原位测试指标进行分析、评价，以上参数指标符合本场地的地质环境，合理、可靠。</w:t>
      </w:r>
    </w:p>
    <w:p>
      <w:pPr>
        <w:spacing w:line="360" w:lineRule="auto"/>
        <w:rPr>
          <w:sz w:val="24"/>
        </w:rPr>
      </w:pPr>
      <w:r>
        <w:rPr>
          <w:b/>
          <w:sz w:val="24"/>
        </w:rPr>
        <w:t>3.</w:t>
      </w:r>
      <w:r>
        <w:rPr>
          <w:rFonts w:hint="eastAsia"/>
          <w:b/>
          <w:sz w:val="24"/>
        </w:rPr>
        <w:t>6</w:t>
      </w:r>
      <w:r>
        <w:rPr>
          <w:b/>
          <w:sz w:val="24"/>
        </w:rPr>
        <w:t>.</w:t>
      </w:r>
      <w:r>
        <w:rPr>
          <w:rFonts w:hint="eastAsia"/>
          <w:b/>
          <w:sz w:val="24"/>
        </w:rPr>
        <w:t>2.</w:t>
      </w:r>
      <w:r>
        <w:rPr>
          <w:sz w:val="24"/>
        </w:rPr>
        <w:t xml:space="preserve">各层土的物理力学指标及相关参数详见“物理力学指标统计表”、“土工试验成果总表”。 </w:t>
      </w:r>
    </w:p>
    <w:p>
      <w:pPr>
        <w:spacing w:line="360" w:lineRule="auto"/>
        <w:rPr>
          <w:rFonts w:ascii="宋体" w:hAnsi="宋体"/>
          <w:color w:val="000000"/>
        </w:rPr>
      </w:pPr>
      <w:r>
        <w:rPr>
          <w:rFonts w:hint="eastAsia"/>
          <w:b/>
          <w:sz w:val="24"/>
        </w:rPr>
        <w:t>3.6.3.</w:t>
      </w:r>
      <w:r>
        <w:rPr>
          <w:rFonts w:hint="eastAsia"/>
          <w:sz w:val="24"/>
        </w:rPr>
        <w:t>各层岩土地基承载力特征值fak：根据原位测试成果，结合地区经验综合确定，详见表6。</w:t>
      </w:r>
    </w:p>
    <w:p>
      <w:pPr>
        <w:spacing w:line="480" w:lineRule="exact"/>
        <w:jc w:val="center"/>
        <w:rPr>
          <w:sz w:val="24"/>
        </w:rPr>
      </w:pPr>
      <w:r>
        <w:rPr>
          <w:sz w:val="24"/>
        </w:rPr>
        <w:t>表</w:t>
      </w:r>
      <w:r>
        <w:rPr>
          <w:rFonts w:hint="eastAsia"/>
          <w:sz w:val="24"/>
        </w:rPr>
        <w:t>6</w:t>
      </w:r>
      <w:r>
        <w:rPr>
          <w:sz w:val="24"/>
        </w:rPr>
        <w:t xml:space="preserve">   地基土承载力特征值</w:t>
      </w:r>
      <w:r>
        <w:rPr>
          <w:i/>
          <w:sz w:val="24"/>
        </w:rPr>
        <w:t>f</w:t>
      </w:r>
      <w:r>
        <w:rPr>
          <w:i/>
          <w:sz w:val="24"/>
          <w:vertAlign w:val="subscript"/>
        </w:rPr>
        <w:t>ak</w:t>
      </w:r>
      <w:r>
        <w:rPr>
          <w:sz w:val="24"/>
        </w:rPr>
        <w:t>(kPa)</w:t>
      </w:r>
    </w:p>
    <w:tbl>
      <w:tblPr>
        <w:tblStyle w:val="13"/>
        <w:tblW w:w="504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76"/>
        <w:gridCol w:w="2324"/>
        <w:gridCol w:w="3006"/>
        <w:gridCol w:w="2553"/>
        <w:gridCol w:w="1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5" w:hRule="atLeast"/>
          <w:jc w:val="center"/>
        </w:trPr>
        <w:tc>
          <w:tcPr>
            <w:tcW w:w="384" w:type="pct"/>
            <w:vMerge w:val="restart"/>
            <w:vAlign w:val="center"/>
          </w:tcPr>
          <w:p>
            <w:pPr>
              <w:jc w:val="center"/>
              <w:rPr>
                <w:szCs w:val="21"/>
              </w:rPr>
            </w:pPr>
            <w:r>
              <w:rPr>
                <w:szCs w:val="21"/>
              </w:rPr>
              <w:t>层号</w:t>
            </w:r>
          </w:p>
        </w:tc>
        <w:tc>
          <w:tcPr>
            <w:tcW w:w="1149" w:type="pct"/>
            <w:vMerge w:val="restart"/>
            <w:vAlign w:val="center"/>
          </w:tcPr>
          <w:p>
            <w:pPr>
              <w:jc w:val="center"/>
              <w:rPr>
                <w:szCs w:val="21"/>
              </w:rPr>
            </w:pPr>
            <w:r>
              <w:rPr>
                <w:szCs w:val="21"/>
              </w:rPr>
              <w:t>土层名称</w:t>
            </w:r>
          </w:p>
        </w:tc>
        <w:tc>
          <w:tcPr>
            <w:tcW w:w="3466" w:type="pct"/>
            <w:gridSpan w:val="3"/>
            <w:vAlign w:val="center"/>
          </w:tcPr>
          <w:p>
            <w:pPr>
              <w:jc w:val="center"/>
              <w:rPr>
                <w:szCs w:val="21"/>
              </w:rPr>
            </w:pPr>
            <w:r>
              <w:rPr>
                <w:szCs w:val="21"/>
              </w:rPr>
              <w:t>地基土承载力特征值</w:t>
            </w:r>
            <w:r>
              <w:rPr>
                <w:i/>
                <w:szCs w:val="21"/>
              </w:rPr>
              <w:t>fak</w:t>
            </w:r>
            <w:r>
              <w:rPr>
                <w:szCs w:val="21"/>
              </w:rPr>
              <w:t>（kPa）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5" w:hRule="atLeast"/>
          <w:jc w:val="center"/>
        </w:trPr>
        <w:tc>
          <w:tcPr>
            <w:tcW w:w="384" w:type="pct"/>
            <w:vMerge w:val="continue"/>
            <w:vAlign w:val="center"/>
          </w:tcPr>
          <w:p>
            <w:pPr>
              <w:jc w:val="center"/>
              <w:rPr>
                <w:szCs w:val="21"/>
              </w:rPr>
            </w:pPr>
          </w:p>
        </w:tc>
        <w:tc>
          <w:tcPr>
            <w:tcW w:w="1149" w:type="pct"/>
            <w:vMerge w:val="continue"/>
            <w:vAlign w:val="center"/>
          </w:tcPr>
          <w:p>
            <w:pPr>
              <w:jc w:val="center"/>
              <w:rPr>
                <w:szCs w:val="21"/>
              </w:rPr>
            </w:pPr>
          </w:p>
        </w:tc>
        <w:tc>
          <w:tcPr>
            <w:tcW w:w="1486" w:type="pct"/>
            <w:vAlign w:val="center"/>
          </w:tcPr>
          <w:p>
            <w:pPr>
              <w:jc w:val="center"/>
              <w:rPr>
                <w:szCs w:val="21"/>
              </w:rPr>
            </w:pPr>
            <w:r>
              <w:rPr>
                <w:szCs w:val="21"/>
              </w:rPr>
              <w:t>依土工试验</w:t>
            </w:r>
          </w:p>
        </w:tc>
        <w:tc>
          <w:tcPr>
            <w:tcW w:w="1262" w:type="pct"/>
            <w:vAlign w:val="center"/>
          </w:tcPr>
          <w:p>
            <w:pPr>
              <w:jc w:val="center"/>
              <w:rPr>
                <w:szCs w:val="21"/>
              </w:rPr>
            </w:pPr>
            <w:r>
              <w:rPr>
                <w:rFonts w:hint="eastAsia"/>
                <w:szCs w:val="21"/>
              </w:rPr>
              <w:t>依标贯试验</w:t>
            </w:r>
          </w:p>
        </w:tc>
        <w:tc>
          <w:tcPr>
            <w:tcW w:w="718" w:type="pct"/>
            <w:vAlign w:val="center"/>
          </w:tcPr>
          <w:p>
            <w:pPr>
              <w:jc w:val="center"/>
              <w:rPr>
                <w:szCs w:val="21"/>
              </w:rPr>
            </w:pPr>
            <w:r>
              <w:rPr>
                <w:szCs w:val="21"/>
              </w:rPr>
              <w:t>建议值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5" w:hRule="atLeast"/>
          <w:jc w:val="center"/>
        </w:trPr>
        <w:tc>
          <w:tcPr>
            <w:tcW w:w="384" w:type="pct"/>
            <w:vAlign w:val="center"/>
          </w:tcPr>
          <w:p>
            <w:pPr>
              <w:jc w:val="center"/>
              <w:rPr>
                <w:szCs w:val="21"/>
              </w:rPr>
            </w:pPr>
            <w:r>
              <w:rPr>
                <w:rFonts w:hint="eastAsia" w:ascii="宋体" w:hAnsi="宋体"/>
                <w:szCs w:val="21"/>
              </w:rPr>
              <w:t>②</w:t>
            </w:r>
          </w:p>
        </w:tc>
        <w:tc>
          <w:tcPr>
            <w:tcW w:w="1149" w:type="pct"/>
            <w:vAlign w:val="center"/>
          </w:tcPr>
          <w:p>
            <w:pPr>
              <w:jc w:val="center"/>
              <w:rPr>
                <w:szCs w:val="21"/>
              </w:rPr>
            </w:pPr>
            <w:r>
              <w:rPr>
                <w:rFonts w:hint="eastAsia"/>
                <w:szCs w:val="21"/>
              </w:rPr>
              <w:t>粉质黏土</w:t>
            </w:r>
          </w:p>
        </w:tc>
        <w:tc>
          <w:tcPr>
            <w:tcW w:w="1486" w:type="pct"/>
            <w:vAlign w:val="center"/>
          </w:tcPr>
          <w:p>
            <w:pPr>
              <w:jc w:val="center"/>
              <w:rPr>
                <w:rFonts w:hint="default" w:eastAsia="宋体"/>
                <w:szCs w:val="21"/>
                <w:lang w:val="en-US" w:eastAsia="zh-CN"/>
              </w:rPr>
            </w:pPr>
            <w:r>
              <w:rPr>
                <w:rFonts w:hint="eastAsia"/>
                <w:szCs w:val="21"/>
                <w:lang w:val="en-US" w:eastAsia="zh-CN"/>
              </w:rPr>
              <w:t>162</w:t>
            </w:r>
          </w:p>
        </w:tc>
        <w:tc>
          <w:tcPr>
            <w:tcW w:w="1262" w:type="pct"/>
            <w:vAlign w:val="center"/>
          </w:tcPr>
          <w:p>
            <w:pPr>
              <w:jc w:val="center"/>
              <w:rPr>
                <w:szCs w:val="21"/>
              </w:rPr>
            </w:pPr>
            <w:r>
              <w:rPr>
                <w:rFonts w:hint="eastAsia"/>
                <w:szCs w:val="21"/>
              </w:rPr>
              <w:t>—</w:t>
            </w:r>
          </w:p>
        </w:tc>
        <w:tc>
          <w:tcPr>
            <w:tcW w:w="718" w:type="pct"/>
            <w:vAlign w:val="center"/>
          </w:tcPr>
          <w:p>
            <w:pPr>
              <w:jc w:val="center"/>
              <w:rPr>
                <w:rFonts w:hint="default" w:eastAsia="宋体"/>
                <w:szCs w:val="21"/>
                <w:lang w:val="en-US" w:eastAsia="zh-CN"/>
              </w:rPr>
            </w:pPr>
            <w:r>
              <w:rPr>
                <w:rFonts w:hint="eastAsia"/>
                <w:szCs w:val="21"/>
                <w:lang w:val="en-US" w:eastAsia="zh-CN"/>
              </w:rPr>
              <w:t>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5" w:hRule="atLeast"/>
          <w:jc w:val="center"/>
        </w:trPr>
        <w:tc>
          <w:tcPr>
            <w:tcW w:w="384" w:type="pct"/>
            <w:vAlign w:val="center"/>
          </w:tcPr>
          <w:p>
            <w:pPr>
              <w:jc w:val="center"/>
              <w:rPr>
                <w:szCs w:val="21"/>
              </w:rPr>
            </w:pPr>
            <w:r>
              <w:rPr>
                <w:rFonts w:hint="eastAsia"/>
                <w:szCs w:val="21"/>
              </w:rPr>
              <w:t>③</w:t>
            </w:r>
          </w:p>
        </w:tc>
        <w:tc>
          <w:tcPr>
            <w:tcW w:w="1149" w:type="pct"/>
            <w:vAlign w:val="center"/>
          </w:tcPr>
          <w:p>
            <w:pPr>
              <w:jc w:val="center"/>
              <w:rPr>
                <w:szCs w:val="21"/>
              </w:rPr>
            </w:pPr>
            <w:r>
              <w:rPr>
                <w:rFonts w:hint="eastAsia"/>
                <w:szCs w:val="21"/>
              </w:rPr>
              <w:t>粉质黏土</w:t>
            </w:r>
          </w:p>
        </w:tc>
        <w:tc>
          <w:tcPr>
            <w:tcW w:w="1486" w:type="pct"/>
            <w:vAlign w:val="center"/>
          </w:tcPr>
          <w:p>
            <w:pPr>
              <w:jc w:val="center"/>
              <w:rPr>
                <w:rFonts w:hint="default" w:eastAsia="宋体"/>
                <w:szCs w:val="21"/>
                <w:lang w:val="en-US" w:eastAsia="zh-CN"/>
              </w:rPr>
            </w:pPr>
            <w:r>
              <w:rPr>
                <w:rFonts w:hint="eastAsia"/>
                <w:szCs w:val="21"/>
                <w:lang w:val="en-US" w:eastAsia="zh-CN"/>
              </w:rPr>
              <w:t>112</w:t>
            </w:r>
          </w:p>
        </w:tc>
        <w:tc>
          <w:tcPr>
            <w:tcW w:w="1262" w:type="pct"/>
            <w:vAlign w:val="center"/>
          </w:tcPr>
          <w:p>
            <w:pPr>
              <w:jc w:val="center"/>
              <w:rPr>
                <w:szCs w:val="21"/>
              </w:rPr>
            </w:pPr>
            <w:r>
              <w:rPr>
                <w:rFonts w:hint="eastAsia"/>
                <w:szCs w:val="21"/>
              </w:rPr>
              <w:t>—</w:t>
            </w:r>
          </w:p>
        </w:tc>
        <w:tc>
          <w:tcPr>
            <w:tcW w:w="718" w:type="pct"/>
            <w:vAlign w:val="center"/>
          </w:tcPr>
          <w:p>
            <w:pPr>
              <w:jc w:val="center"/>
              <w:rPr>
                <w:rFonts w:hint="default"/>
                <w:szCs w:val="21"/>
                <w:lang w:val="en-US"/>
              </w:rPr>
            </w:pPr>
            <w:r>
              <w:rPr>
                <w:rFonts w:hint="eastAsia"/>
                <w:szCs w:val="21"/>
                <w:lang w:val="en-US" w:eastAsia="zh-CN"/>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5" w:hRule="atLeast"/>
          <w:jc w:val="center"/>
        </w:trPr>
        <w:tc>
          <w:tcPr>
            <w:tcW w:w="384" w:type="pct"/>
            <w:vAlign w:val="center"/>
          </w:tcPr>
          <w:p>
            <w:pPr>
              <w:jc w:val="center"/>
              <w:rPr>
                <w:szCs w:val="21"/>
              </w:rPr>
            </w:pPr>
            <w:r>
              <w:rPr>
                <w:rFonts w:hint="eastAsia"/>
                <w:szCs w:val="21"/>
              </w:rPr>
              <w:t>④</w:t>
            </w:r>
          </w:p>
        </w:tc>
        <w:tc>
          <w:tcPr>
            <w:tcW w:w="1149" w:type="pct"/>
            <w:vAlign w:val="center"/>
          </w:tcPr>
          <w:p>
            <w:pPr>
              <w:jc w:val="center"/>
              <w:rPr>
                <w:rFonts w:hint="eastAsia" w:eastAsia="宋体"/>
                <w:szCs w:val="21"/>
                <w:lang w:eastAsia="zh-CN"/>
              </w:rPr>
            </w:pPr>
            <w:r>
              <w:rPr>
                <w:rFonts w:hint="eastAsia"/>
                <w:szCs w:val="21"/>
                <w:lang w:eastAsia="zh-CN"/>
              </w:rPr>
              <w:t>粗砂</w:t>
            </w:r>
          </w:p>
        </w:tc>
        <w:tc>
          <w:tcPr>
            <w:tcW w:w="1486" w:type="pct"/>
            <w:vAlign w:val="center"/>
          </w:tcPr>
          <w:p>
            <w:pPr>
              <w:jc w:val="center"/>
              <w:rPr>
                <w:szCs w:val="21"/>
              </w:rPr>
            </w:pPr>
            <w:r>
              <w:rPr>
                <w:rFonts w:hint="eastAsia"/>
                <w:szCs w:val="21"/>
              </w:rPr>
              <w:t>—</w:t>
            </w:r>
          </w:p>
        </w:tc>
        <w:tc>
          <w:tcPr>
            <w:tcW w:w="1262" w:type="pct"/>
            <w:vAlign w:val="center"/>
          </w:tcPr>
          <w:p>
            <w:pPr>
              <w:jc w:val="center"/>
              <w:rPr>
                <w:rFonts w:hint="default" w:eastAsia="宋体"/>
                <w:szCs w:val="21"/>
                <w:lang w:val="en-US" w:eastAsia="zh-CN"/>
              </w:rPr>
            </w:pPr>
            <w:r>
              <w:rPr>
                <w:rFonts w:hint="eastAsia"/>
                <w:szCs w:val="21"/>
                <w:lang w:val="en-US" w:eastAsia="zh-CN"/>
              </w:rPr>
              <w:t>280</w:t>
            </w:r>
          </w:p>
        </w:tc>
        <w:tc>
          <w:tcPr>
            <w:tcW w:w="718" w:type="pct"/>
            <w:vAlign w:val="center"/>
          </w:tcPr>
          <w:p>
            <w:pPr>
              <w:jc w:val="center"/>
              <w:rPr>
                <w:rFonts w:hint="default" w:eastAsia="宋体"/>
                <w:szCs w:val="21"/>
                <w:lang w:val="en-US" w:eastAsia="zh-CN"/>
              </w:rPr>
            </w:pPr>
            <w:r>
              <w:rPr>
                <w:rFonts w:hint="eastAsia"/>
                <w:szCs w:val="21"/>
                <w:lang w:val="en-US" w:eastAsia="zh-CN"/>
              </w:rPr>
              <w:t>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5" w:hRule="atLeast"/>
          <w:jc w:val="center"/>
        </w:trPr>
        <w:tc>
          <w:tcPr>
            <w:tcW w:w="384" w:type="pct"/>
            <w:vAlign w:val="center"/>
          </w:tcPr>
          <w:p>
            <w:pPr>
              <w:jc w:val="center"/>
              <w:rPr>
                <w:szCs w:val="21"/>
              </w:rPr>
            </w:pPr>
            <w:r>
              <w:rPr>
                <w:rFonts w:hint="eastAsia"/>
                <w:szCs w:val="21"/>
              </w:rPr>
              <w:t>⑤</w:t>
            </w:r>
          </w:p>
        </w:tc>
        <w:tc>
          <w:tcPr>
            <w:tcW w:w="1149" w:type="pct"/>
            <w:vAlign w:val="center"/>
          </w:tcPr>
          <w:p>
            <w:pPr>
              <w:jc w:val="center"/>
              <w:rPr>
                <w:rFonts w:hint="eastAsia" w:eastAsia="宋体"/>
                <w:szCs w:val="21"/>
                <w:lang w:eastAsia="zh-CN"/>
              </w:rPr>
            </w:pPr>
            <w:r>
              <w:rPr>
                <w:rFonts w:hint="eastAsia"/>
                <w:szCs w:val="21"/>
                <w:lang w:eastAsia="zh-CN"/>
              </w:rPr>
              <w:t>全风化砂质泥岩</w:t>
            </w:r>
          </w:p>
        </w:tc>
        <w:tc>
          <w:tcPr>
            <w:tcW w:w="1486" w:type="pct"/>
            <w:vAlign w:val="center"/>
          </w:tcPr>
          <w:p>
            <w:pPr>
              <w:jc w:val="center"/>
              <w:rPr>
                <w:szCs w:val="21"/>
              </w:rPr>
            </w:pPr>
            <w:r>
              <w:rPr>
                <w:rFonts w:hint="eastAsia"/>
                <w:szCs w:val="21"/>
              </w:rPr>
              <w:t>—</w:t>
            </w:r>
          </w:p>
        </w:tc>
        <w:tc>
          <w:tcPr>
            <w:tcW w:w="1262" w:type="pct"/>
            <w:vAlign w:val="center"/>
          </w:tcPr>
          <w:p>
            <w:pPr>
              <w:jc w:val="center"/>
              <w:rPr>
                <w:rFonts w:hint="default" w:eastAsia="宋体"/>
                <w:szCs w:val="21"/>
                <w:lang w:val="en-US" w:eastAsia="zh-CN"/>
              </w:rPr>
            </w:pPr>
            <w:r>
              <w:rPr>
                <w:rFonts w:hint="eastAsia"/>
                <w:szCs w:val="21"/>
                <w:lang w:val="en-US" w:eastAsia="zh-CN"/>
              </w:rPr>
              <w:t>300</w:t>
            </w:r>
          </w:p>
        </w:tc>
        <w:tc>
          <w:tcPr>
            <w:tcW w:w="718" w:type="pct"/>
            <w:vAlign w:val="center"/>
          </w:tcPr>
          <w:p>
            <w:pPr>
              <w:jc w:val="center"/>
              <w:rPr>
                <w:rFonts w:hint="default" w:eastAsia="宋体"/>
                <w:szCs w:val="21"/>
                <w:lang w:val="en-US" w:eastAsia="zh-CN"/>
              </w:rPr>
            </w:pPr>
            <w:r>
              <w:rPr>
                <w:rFonts w:hint="eastAsia"/>
                <w:szCs w:val="21"/>
                <w:lang w:val="en-US" w:eastAsia="zh-CN"/>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5" w:hRule="atLeast"/>
          <w:jc w:val="center"/>
        </w:trPr>
        <w:tc>
          <w:tcPr>
            <w:tcW w:w="384" w:type="pct"/>
            <w:vAlign w:val="center"/>
          </w:tcPr>
          <w:p>
            <w:pPr>
              <w:jc w:val="center"/>
              <w:rPr>
                <w:szCs w:val="21"/>
              </w:rPr>
            </w:pPr>
            <w:r>
              <w:rPr>
                <w:rFonts w:hint="eastAsia"/>
                <w:szCs w:val="21"/>
              </w:rPr>
              <w:t>⑥</w:t>
            </w:r>
          </w:p>
        </w:tc>
        <w:tc>
          <w:tcPr>
            <w:tcW w:w="1149" w:type="pct"/>
            <w:vAlign w:val="center"/>
          </w:tcPr>
          <w:p>
            <w:pPr>
              <w:jc w:val="center"/>
              <w:rPr>
                <w:rFonts w:hint="eastAsia" w:eastAsia="宋体"/>
                <w:szCs w:val="21"/>
                <w:lang w:eastAsia="zh-CN"/>
              </w:rPr>
            </w:pPr>
            <w:r>
              <w:rPr>
                <w:rFonts w:hint="eastAsia"/>
                <w:szCs w:val="21"/>
                <w:lang w:eastAsia="zh-CN"/>
              </w:rPr>
              <w:t>强风化砂质泥岩</w:t>
            </w:r>
          </w:p>
        </w:tc>
        <w:tc>
          <w:tcPr>
            <w:tcW w:w="1486" w:type="pct"/>
            <w:vAlign w:val="center"/>
          </w:tcPr>
          <w:p>
            <w:pPr>
              <w:jc w:val="center"/>
              <w:rPr>
                <w:szCs w:val="21"/>
              </w:rPr>
            </w:pPr>
            <w:r>
              <w:rPr>
                <w:rFonts w:hint="eastAsia"/>
                <w:szCs w:val="21"/>
              </w:rPr>
              <w:t>—</w:t>
            </w:r>
          </w:p>
        </w:tc>
        <w:tc>
          <w:tcPr>
            <w:tcW w:w="1262" w:type="pct"/>
            <w:vAlign w:val="center"/>
          </w:tcPr>
          <w:p>
            <w:pPr>
              <w:jc w:val="center"/>
              <w:rPr>
                <w:szCs w:val="21"/>
              </w:rPr>
            </w:pPr>
            <w:r>
              <w:rPr>
                <w:rFonts w:hint="eastAsia"/>
                <w:szCs w:val="21"/>
              </w:rPr>
              <w:t>450</w:t>
            </w:r>
          </w:p>
        </w:tc>
        <w:tc>
          <w:tcPr>
            <w:tcW w:w="718" w:type="pct"/>
            <w:vAlign w:val="center"/>
          </w:tcPr>
          <w:p>
            <w:pPr>
              <w:jc w:val="center"/>
              <w:rPr>
                <w:szCs w:val="21"/>
              </w:rPr>
            </w:pPr>
            <w:r>
              <w:rPr>
                <w:rFonts w:hint="eastAsia"/>
                <w:szCs w:val="21"/>
              </w:rPr>
              <w:t>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5" w:hRule="atLeast"/>
          <w:jc w:val="center"/>
        </w:trPr>
        <w:tc>
          <w:tcPr>
            <w:tcW w:w="384" w:type="pct"/>
            <w:vAlign w:val="center"/>
          </w:tcPr>
          <w:p>
            <w:pPr>
              <w:jc w:val="center"/>
              <w:rPr>
                <w:szCs w:val="21"/>
              </w:rPr>
            </w:pPr>
            <w:r>
              <w:rPr>
                <w:rFonts w:hint="eastAsia"/>
                <w:szCs w:val="21"/>
              </w:rPr>
              <w:t>⑦</w:t>
            </w:r>
          </w:p>
        </w:tc>
        <w:tc>
          <w:tcPr>
            <w:tcW w:w="1149" w:type="pct"/>
            <w:vAlign w:val="center"/>
          </w:tcPr>
          <w:p>
            <w:pPr>
              <w:jc w:val="center"/>
              <w:rPr>
                <w:rFonts w:hint="eastAsia" w:eastAsia="宋体"/>
                <w:szCs w:val="21"/>
                <w:lang w:eastAsia="zh-CN"/>
              </w:rPr>
            </w:pPr>
            <w:r>
              <w:rPr>
                <w:rFonts w:hint="eastAsia"/>
                <w:szCs w:val="21"/>
                <w:lang w:eastAsia="zh-CN"/>
              </w:rPr>
              <w:t>中等风化砂质泥岩</w:t>
            </w:r>
          </w:p>
        </w:tc>
        <w:tc>
          <w:tcPr>
            <w:tcW w:w="1486" w:type="pct"/>
            <w:vAlign w:val="center"/>
          </w:tcPr>
          <w:p>
            <w:pPr>
              <w:jc w:val="center"/>
              <w:rPr>
                <w:szCs w:val="21"/>
              </w:rPr>
            </w:pPr>
            <w:r>
              <w:rPr>
                <w:rFonts w:hint="eastAsia"/>
                <w:szCs w:val="21"/>
              </w:rPr>
              <w:t>—</w:t>
            </w:r>
          </w:p>
        </w:tc>
        <w:tc>
          <w:tcPr>
            <w:tcW w:w="1262" w:type="pct"/>
            <w:vAlign w:val="center"/>
          </w:tcPr>
          <w:p>
            <w:pPr>
              <w:jc w:val="center"/>
              <w:rPr>
                <w:szCs w:val="21"/>
              </w:rPr>
            </w:pPr>
            <w:r>
              <w:rPr>
                <w:rFonts w:hint="eastAsia"/>
                <w:szCs w:val="21"/>
              </w:rPr>
              <w:t>700</w:t>
            </w:r>
          </w:p>
        </w:tc>
        <w:tc>
          <w:tcPr>
            <w:tcW w:w="718" w:type="pct"/>
            <w:vAlign w:val="center"/>
          </w:tcPr>
          <w:p>
            <w:pPr>
              <w:jc w:val="center"/>
              <w:rPr>
                <w:rFonts w:hint="default" w:eastAsia="宋体"/>
                <w:szCs w:val="21"/>
                <w:lang w:val="en-US" w:eastAsia="zh-CN"/>
              </w:rPr>
            </w:pPr>
            <w:r>
              <w:rPr>
                <w:rFonts w:hint="eastAsia"/>
                <w:szCs w:val="21"/>
                <w:lang w:val="en-US" w:eastAsia="zh-CN"/>
              </w:rPr>
              <w:t>600</w:t>
            </w:r>
          </w:p>
        </w:tc>
      </w:tr>
    </w:tbl>
    <w:p>
      <w:pPr>
        <w:pStyle w:val="2"/>
        <w:keepNext w:val="0"/>
        <w:keepLines w:val="0"/>
        <w:numPr>
          <w:ilvl w:val="0"/>
          <w:numId w:val="2"/>
        </w:numPr>
        <w:spacing w:before="0" w:after="0" w:line="720" w:lineRule="auto"/>
        <w:jc w:val="left"/>
        <w:rPr>
          <w:color w:val="000000"/>
          <w:lang w:val="zh-CN"/>
        </w:rPr>
      </w:pPr>
      <w:bookmarkStart w:id="30" w:name="_Toc10468523"/>
      <w:r>
        <w:rPr>
          <w:rFonts w:hint="eastAsia" w:eastAsia="黑体"/>
          <w:sz w:val="28"/>
        </w:rPr>
        <w:t>地基基础方案分析评价</w:t>
      </w:r>
      <w:bookmarkEnd w:id="30"/>
    </w:p>
    <w:p>
      <w:pPr>
        <w:pStyle w:val="3"/>
        <w:keepNext w:val="0"/>
        <w:keepLines w:val="0"/>
        <w:spacing w:before="0" w:after="0" w:line="480" w:lineRule="auto"/>
        <w:jc w:val="left"/>
        <w:rPr>
          <w:rFonts w:ascii="Times New Roman" w:hAnsi="Times New Roman" w:eastAsia="黑体" w:cstheme="majorBidi"/>
          <w:sz w:val="28"/>
        </w:rPr>
      </w:pPr>
      <w:bookmarkStart w:id="31" w:name="_Toc10468524"/>
      <w:r>
        <w:rPr>
          <w:rFonts w:hint="eastAsia" w:ascii="Times New Roman" w:hAnsi="Times New Roman" w:eastAsia="黑体" w:cstheme="majorBidi"/>
          <w:sz w:val="28"/>
        </w:rPr>
        <w:t>4.1.天然地基浅基础可行性分析</w:t>
      </w:r>
      <w:bookmarkEnd w:id="31"/>
    </w:p>
    <w:p>
      <w:pPr>
        <w:pStyle w:val="52"/>
        <w:numPr>
          <w:ilvl w:val="0"/>
          <w:numId w:val="0"/>
        </w:numPr>
        <w:rPr>
          <w:sz w:val="24"/>
          <w:lang w:val="zh-CN"/>
        </w:rPr>
      </w:pPr>
      <w:r>
        <w:rPr>
          <w:sz w:val="24"/>
          <w:lang w:val="zh-CN"/>
        </w:rPr>
        <w:t>4.</w:t>
      </w:r>
      <w:r>
        <w:rPr>
          <w:rFonts w:hint="eastAsia"/>
          <w:sz w:val="24"/>
          <w:lang w:val="zh-CN"/>
        </w:rPr>
        <w:t>1</w:t>
      </w:r>
      <w:r>
        <w:rPr>
          <w:sz w:val="24"/>
          <w:lang w:val="zh-CN"/>
        </w:rPr>
        <w:t>.1</w:t>
      </w:r>
      <w:r>
        <w:rPr>
          <w:rFonts w:hint="eastAsia"/>
          <w:sz w:val="24"/>
          <w:lang w:val="zh-CN"/>
        </w:rPr>
        <w:t>.天然地基均匀性评价</w:t>
      </w:r>
    </w:p>
    <w:p>
      <w:pPr>
        <w:spacing w:line="360" w:lineRule="auto"/>
        <w:ind w:firstLine="480" w:firstLineChars="200"/>
        <w:rPr>
          <w:rFonts w:hint="default" w:ascii="Times New Roman" w:hAnsi="Times New Roman" w:cs="Times New Roman"/>
          <w:sz w:val="24"/>
          <w:lang w:val="en-US" w:eastAsia="zh-CN"/>
        </w:rPr>
      </w:pPr>
      <w:r>
        <w:rPr>
          <w:rFonts w:hint="eastAsia" w:ascii="Times New Roman" w:hAnsi="Times New Roman" w:cs="Times New Roman"/>
          <w:sz w:val="24"/>
          <w:lang w:val="en-US" w:eastAsia="zh-CN"/>
        </w:rPr>
        <w:t>拟建</w:t>
      </w:r>
      <w:r>
        <w:rPr>
          <w:rFonts w:hint="eastAsia" w:cs="Times New Roman"/>
          <w:sz w:val="24"/>
          <w:lang w:val="en-US" w:eastAsia="zh-CN"/>
        </w:rPr>
        <w:t>16-1~16-19为21-28F高层</w:t>
      </w:r>
      <w:r>
        <w:rPr>
          <w:rFonts w:hint="eastAsia" w:ascii="Times New Roman" w:hAnsi="Times New Roman" w:cs="Times New Roman"/>
          <w:sz w:val="24"/>
          <w:lang w:val="en-US" w:eastAsia="zh-CN"/>
        </w:rPr>
        <w:t>住宅，</w:t>
      </w:r>
      <w:r>
        <w:rPr>
          <w:rFonts w:hint="eastAsia" w:cs="Times New Roman"/>
          <w:sz w:val="24"/>
          <w:lang w:val="en-US" w:eastAsia="zh-CN"/>
        </w:rPr>
        <w:t>有1层满铺地下室，埋深约6.0m，</w:t>
      </w:r>
      <w:r>
        <w:rPr>
          <w:rFonts w:hint="default" w:ascii="Times New Roman" w:hAnsi="Times New Roman" w:cs="Times New Roman"/>
          <w:sz w:val="24"/>
          <w:lang w:val="en-US" w:eastAsia="zh-CN"/>
        </w:rPr>
        <w:t>第</w:t>
      </w:r>
      <w:r>
        <w:rPr>
          <w:rFonts w:hint="eastAsia" w:cs="Times New Roman"/>
          <w:sz w:val="24"/>
          <w:lang w:val="en-US" w:eastAsia="zh-CN"/>
        </w:rPr>
        <w:t>④</w:t>
      </w:r>
      <w:r>
        <w:rPr>
          <w:rFonts w:hint="default" w:ascii="Times New Roman" w:hAnsi="Times New Roman" w:cs="Times New Roman"/>
          <w:sz w:val="24"/>
          <w:lang w:val="en-US" w:eastAsia="zh-CN"/>
        </w:rPr>
        <w:t>层</w:t>
      </w:r>
      <w:r>
        <w:rPr>
          <w:rFonts w:hint="eastAsia" w:cs="Times New Roman"/>
          <w:sz w:val="24"/>
          <w:lang w:val="en-US" w:eastAsia="zh-CN"/>
        </w:rPr>
        <w:t>粗砂</w:t>
      </w:r>
      <w:r>
        <w:rPr>
          <w:rFonts w:hint="default" w:ascii="Times New Roman" w:hAnsi="Times New Roman" w:cs="Times New Roman"/>
          <w:sz w:val="24"/>
          <w:lang w:val="en-US" w:eastAsia="zh-CN"/>
        </w:rPr>
        <w:t>可做天然地基持力层。根据本次钻探揭示地层条件及本工程埋深条件分析，地基持力层属于同一地貌单元或工程地质单元，中压缩性地基，持力层底面或相邻基底标高的坡度小于10%；持力层及其下卧层在基础宽度方向上的厚度差值小于0.05b(b为基础宽度)。综合判定为均匀地基。</w:t>
      </w:r>
    </w:p>
    <w:p>
      <w:pPr>
        <w:spacing w:line="360" w:lineRule="auto"/>
        <w:ind w:firstLine="480" w:firstLineChars="200"/>
        <w:rPr>
          <w:rFonts w:hint="default" w:ascii="Times New Roman" w:hAnsi="Times New Roman" w:cs="Times New Roman"/>
          <w:sz w:val="24"/>
          <w:lang w:val="en-US" w:eastAsia="zh-CN"/>
        </w:rPr>
      </w:pPr>
      <w:r>
        <w:rPr>
          <w:rFonts w:hint="eastAsia"/>
          <w:sz w:val="24"/>
        </w:rPr>
        <w:t>拟建</w:t>
      </w:r>
      <w:r>
        <w:rPr>
          <w:rFonts w:hint="eastAsia"/>
          <w:sz w:val="24"/>
          <w:lang w:val="en-US" w:eastAsia="zh-CN"/>
        </w:rPr>
        <w:t>16-S-1~16-S-11为1-3F</w:t>
      </w:r>
      <w:r>
        <w:rPr>
          <w:rFonts w:hint="eastAsia"/>
          <w:sz w:val="24"/>
          <w:lang w:eastAsia="zh-CN"/>
        </w:rPr>
        <w:t>商业，</w:t>
      </w:r>
      <w:r>
        <w:rPr>
          <w:rFonts w:hint="eastAsia"/>
          <w:sz w:val="24"/>
        </w:rPr>
        <w:t>无地下室</w:t>
      </w:r>
      <w:r>
        <w:rPr>
          <w:rFonts w:hint="default" w:ascii="Times New Roman" w:hAnsi="Times New Roman" w:cs="Times New Roman"/>
          <w:sz w:val="24"/>
          <w:lang w:val="en-US" w:eastAsia="zh-CN"/>
        </w:rPr>
        <w:t>。第</w:t>
      </w:r>
      <w:r>
        <w:rPr>
          <w:rFonts w:hint="eastAsia" w:cs="Times New Roman"/>
          <w:sz w:val="24"/>
          <w:lang w:val="en-US" w:eastAsia="zh-CN"/>
        </w:rPr>
        <w:t>②</w:t>
      </w:r>
      <w:r>
        <w:rPr>
          <w:rFonts w:hint="default" w:ascii="Times New Roman" w:hAnsi="Times New Roman" w:cs="Times New Roman"/>
          <w:sz w:val="24"/>
          <w:lang w:val="en-US" w:eastAsia="zh-CN"/>
        </w:rPr>
        <w:t>层粉质黏土可做天然地基持力层。根据本次钻探揭示地层条件及本工程埋深条件分析，地基持力层属于同一地貌单元或工程地质单元，中压缩性地基，持力层底面或相邻基底标高的坡度小于10%；持力层及其下卧层在基础宽度方向上的厚度差值小于0.05b(b为基础宽度)。综合判定为均匀地基。</w:t>
      </w:r>
    </w:p>
    <w:p>
      <w:pPr>
        <w:spacing w:line="360" w:lineRule="auto"/>
        <w:ind w:firstLine="480" w:firstLineChars="200"/>
        <w:rPr>
          <w:rFonts w:hint="eastAsia" w:ascii="Times New Roman" w:hAnsi="Times New Roman" w:eastAsia="宋体" w:cs="Times New Roman"/>
          <w:sz w:val="24"/>
          <w:lang w:val="en-US" w:eastAsia="zh-CN"/>
        </w:rPr>
      </w:pPr>
      <w:r>
        <w:rPr>
          <w:rFonts w:hint="eastAsia"/>
          <w:sz w:val="24"/>
        </w:rPr>
        <w:t>拟建</w:t>
      </w:r>
      <w:r>
        <w:rPr>
          <w:rFonts w:hint="eastAsia"/>
          <w:sz w:val="24"/>
          <w:lang w:val="en-US" w:eastAsia="zh-CN"/>
        </w:rPr>
        <w:t>DK1，DK2纯地下室部分</w:t>
      </w:r>
      <w:r>
        <w:rPr>
          <w:rFonts w:hint="eastAsia"/>
          <w:sz w:val="24"/>
          <w:lang w:eastAsia="zh-CN"/>
        </w:rPr>
        <w:t>，埋深约</w:t>
      </w:r>
      <w:r>
        <w:rPr>
          <w:rFonts w:hint="eastAsia"/>
          <w:sz w:val="24"/>
          <w:lang w:val="en-US" w:eastAsia="zh-CN"/>
        </w:rPr>
        <w:t>6.0m</w:t>
      </w:r>
      <w:r>
        <w:rPr>
          <w:rFonts w:hint="eastAsia"/>
          <w:sz w:val="24"/>
        </w:rPr>
        <w:t>，</w:t>
      </w:r>
      <w:r>
        <w:rPr>
          <w:rFonts w:hint="eastAsia"/>
          <w:sz w:val="24"/>
          <w:lang w:eastAsia="zh-CN"/>
        </w:rPr>
        <w:t>因地下室分布面积较大，根据拟建场地第③层粉质黏土的厚度及第④层粗砂的顶面标高。在地下室底板标高处形成了持力层为第③层土和第④层土，</w:t>
      </w:r>
      <w:r>
        <w:rPr>
          <w:rFonts w:hint="eastAsia"/>
          <w:sz w:val="24"/>
        </w:rPr>
        <w:t>第</w:t>
      </w:r>
      <w:r>
        <w:rPr>
          <w:rFonts w:hint="eastAsia"/>
          <w:sz w:val="24"/>
          <w:lang w:eastAsia="zh-CN"/>
        </w:rPr>
        <w:t>③</w:t>
      </w:r>
      <w:r>
        <w:rPr>
          <w:rFonts w:hint="eastAsia"/>
          <w:sz w:val="24"/>
        </w:rPr>
        <w:t>层与第④层力学性质差异较大，且不属于同一工程地质单元，故为不均匀地基。</w:t>
      </w:r>
    </w:p>
    <w:p>
      <w:pPr>
        <w:pStyle w:val="52"/>
        <w:numPr>
          <w:ilvl w:val="0"/>
          <w:numId w:val="0"/>
        </w:numPr>
        <w:rPr>
          <w:sz w:val="24"/>
          <w:lang w:val="zh-CN"/>
        </w:rPr>
      </w:pPr>
      <w:r>
        <w:rPr>
          <w:sz w:val="24"/>
          <w:lang w:val="zh-CN"/>
        </w:rPr>
        <w:t>4.</w:t>
      </w:r>
      <w:r>
        <w:rPr>
          <w:rFonts w:hint="eastAsia"/>
          <w:sz w:val="24"/>
          <w:lang w:val="zh-CN"/>
        </w:rPr>
        <w:t>1</w:t>
      </w:r>
      <w:r>
        <w:rPr>
          <w:sz w:val="24"/>
          <w:lang w:val="zh-CN"/>
        </w:rPr>
        <w:t>.</w:t>
      </w:r>
      <w:r>
        <w:rPr>
          <w:rFonts w:hint="eastAsia"/>
          <w:sz w:val="24"/>
          <w:lang w:val="zh-CN"/>
        </w:rPr>
        <w:t>2.天然地基可行性</w:t>
      </w:r>
    </w:p>
    <w:p>
      <w:pPr>
        <w:spacing w:line="360" w:lineRule="auto"/>
        <w:ind w:firstLine="480" w:firstLineChars="200"/>
        <w:rPr>
          <w:sz w:val="24"/>
        </w:rPr>
      </w:pPr>
      <w:r>
        <w:rPr>
          <w:rFonts w:hint="eastAsia"/>
          <w:sz w:val="24"/>
        </w:rPr>
        <w:t>根据场地的土层分布及上部拟建建筑结构形式、荷载特点、建筑物的正负零及建筑物的变形特征(地下室</w:t>
      </w:r>
      <w:r>
        <w:rPr>
          <w:rFonts w:hint="eastAsia"/>
          <w:sz w:val="24"/>
          <w:lang w:eastAsia="zh-CN"/>
        </w:rPr>
        <w:t>、</w:t>
      </w:r>
      <w:r>
        <w:rPr>
          <w:rFonts w:hint="eastAsia"/>
          <w:sz w:val="24"/>
        </w:rPr>
        <w:t>商业建筑由相邻柱基的沉降差控制，住宅建筑由倾斜值和平均沉降量控制)：</w:t>
      </w:r>
    </w:p>
    <w:p>
      <w:pPr>
        <w:spacing w:line="360" w:lineRule="auto"/>
        <w:ind w:firstLine="480" w:firstLineChars="200"/>
        <w:rPr>
          <w:rFonts w:hint="eastAsia"/>
          <w:sz w:val="24"/>
          <w:lang w:eastAsia="zh-CN"/>
        </w:rPr>
      </w:pPr>
      <w:r>
        <w:rPr>
          <w:rFonts w:hint="eastAsia" w:ascii="Times New Roman" w:hAnsi="Times New Roman" w:cs="Times New Roman"/>
          <w:sz w:val="24"/>
          <w:lang w:val="en-US" w:eastAsia="zh-CN"/>
        </w:rPr>
        <w:t>拟建</w:t>
      </w:r>
      <w:r>
        <w:rPr>
          <w:rFonts w:hint="eastAsia" w:cs="Times New Roman"/>
          <w:sz w:val="24"/>
          <w:lang w:val="en-US" w:eastAsia="zh-CN"/>
        </w:rPr>
        <w:t>16-1~16-19为21-28F高层</w:t>
      </w:r>
      <w:r>
        <w:rPr>
          <w:rFonts w:hint="eastAsia" w:ascii="Times New Roman" w:hAnsi="Times New Roman" w:cs="Times New Roman"/>
          <w:sz w:val="24"/>
          <w:lang w:val="en-US" w:eastAsia="zh-CN"/>
        </w:rPr>
        <w:t>住宅，</w:t>
      </w:r>
      <w:r>
        <w:rPr>
          <w:rFonts w:hint="eastAsia" w:cs="Times New Roman"/>
          <w:sz w:val="24"/>
          <w:lang w:val="en-US" w:eastAsia="zh-CN"/>
        </w:rPr>
        <w:t>有1层满铺地下室，埋深约6.0m。</w:t>
      </w:r>
      <w:r>
        <w:rPr>
          <w:rFonts w:hint="eastAsia"/>
          <w:sz w:val="24"/>
        </w:rPr>
        <w:t>可考虑采用天然地基</w:t>
      </w:r>
      <w:r>
        <w:rPr>
          <w:rFonts w:hint="eastAsia"/>
          <w:sz w:val="24"/>
          <w:lang w:eastAsia="zh-CN"/>
        </w:rPr>
        <w:t>，</w:t>
      </w:r>
      <w:r>
        <w:rPr>
          <w:rFonts w:hint="eastAsia"/>
          <w:sz w:val="24"/>
        </w:rPr>
        <w:t>以第④</w:t>
      </w:r>
      <w:r>
        <w:rPr>
          <w:rFonts w:hint="eastAsia"/>
          <w:sz w:val="24"/>
          <w:lang w:eastAsia="zh-CN"/>
        </w:rPr>
        <w:t>粗砂</w:t>
      </w:r>
      <w:r>
        <w:rPr>
          <w:rFonts w:hint="eastAsia"/>
          <w:sz w:val="24"/>
        </w:rPr>
        <w:t>层作为天然地基持力层</w:t>
      </w:r>
      <w:r>
        <w:rPr>
          <w:rFonts w:hint="eastAsia"/>
          <w:sz w:val="24"/>
          <w:lang w:eastAsia="zh-CN"/>
        </w:rPr>
        <w:t>。也可采用桩基础。</w:t>
      </w:r>
    </w:p>
    <w:p>
      <w:pPr>
        <w:spacing w:line="360" w:lineRule="auto"/>
        <w:ind w:firstLine="480" w:firstLineChars="200"/>
        <w:rPr>
          <w:rFonts w:hint="eastAsia"/>
          <w:sz w:val="24"/>
        </w:rPr>
      </w:pPr>
      <w:r>
        <w:rPr>
          <w:rFonts w:hint="eastAsia"/>
          <w:sz w:val="24"/>
        </w:rPr>
        <w:t>拟建</w:t>
      </w:r>
      <w:r>
        <w:rPr>
          <w:rFonts w:hint="eastAsia"/>
          <w:sz w:val="24"/>
          <w:lang w:val="en-US" w:eastAsia="zh-CN"/>
        </w:rPr>
        <w:t>16-S-1~16-S-11为1-3F</w:t>
      </w:r>
      <w:r>
        <w:rPr>
          <w:rFonts w:hint="eastAsia"/>
          <w:sz w:val="24"/>
          <w:lang w:eastAsia="zh-CN"/>
        </w:rPr>
        <w:t>商业，</w:t>
      </w:r>
      <w:r>
        <w:rPr>
          <w:rFonts w:hint="eastAsia"/>
          <w:sz w:val="24"/>
        </w:rPr>
        <w:t>无地下室</w:t>
      </w:r>
      <w:r>
        <w:rPr>
          <w:rFonts w:hint="eastAsia"/>
          <w:sz w:val="24"/>
          <w:lang w:eastAsia="zh-CN"/>
        </w:rPr>
        <w:t>。</w:t>
      </w:r>
      <w:r>
        <w:rPr>
          <w:rFonts w:hint="eastAsia"/>
          <w:sz w:val="24"/>
        </w:rPr>
        <w:t>可考虑采用天然地基，持力层为第②层粉质黏土。如局部基础未落到持力层上时，可采取加长柱子的方法进行处理。应对第③层粉质黏土进行</w:t>
      </w:r>
      <w:r>
        <w:rPr>
          <w:rFonts w:hint="eastAsia"/>
          <w:sz w:val="24"/>
          <w:lang w:eastAsia="zh-CN"/>
        </w:rPr>
        <w:t>软弱</w:t>
      </w:r>
      <w:r>
        <w:rPr>
          <w:rFonts w:hint="eastAsia"/>
          <w:sz w:val="24"/>
        </w:rPr>
        <w:t>下卧层验算。</w:t>
      </w:r>
      <w:r>
        <w:rPr>
          <w:rFonts w:hint="eastAsia"/>
          <w:sz w:val="24"/>
          <w:lang w:eastAsia="zh-CN"/>
        </w:rPr>
        <w:t>也可采用桩基础。</w:t>
      </w:r>
    </w:p>
    <w:p>
      <w:pPr>
        <w:spacing w:line="360" w:lineRule="auto"/>
        <w:ind w:firstLine="480" w:firstLineChars="200"/>
        <w:rPr>
          <w:rFonts w:hint="eastAsia"/>
          <w:sz w:val="24"/>
          <w:lang w:eastAsia="zh-CN"/>
        </w:rPr>
      </w:pPr>
      <w:r>
        <w:rPr>
          <w:rFonts w:hint="eastAsia"/>
          <w:sz w:val="24"/>
        </w:rPr>
        <w:t>拟建</w:t>
      </w:r>
      <w:r>
        <w:rPr>
          <w:rFonts w:hint="eastAsia"/>
          <w:sz w:val="24"/>
          <w:lang w:val="en-US" w:eastAsia="zh-CN"/>
        </w:rPr>
        <w:t>DK1，DK2纯地下室部分</w:t>
      </w:r>
      <w:r>
        <w:rPr>
          <w:rFonts w:hint="eastAsia"/>
          <w:sz w:val="24"/>
          <w:lang w:eastAsia="zh-CN"/>
        </w:rPr>
        <w:t>，埋深约</w:t>
      </w:r>
      <w:r>
        <w:rPr>
          <w:rFonts w:hint="eastAsia"/>
          <w:sz w:val="24"/>
          <w:lang w:val="en-US" w:eastAsia="zh-CN"/>
        </w:rPr>
        <w:t>6.0m。</w:t>
      </w:r>
      <w:r>
        <w:rPr>
          <w:rFonts w:hint="eastAsia"/>
          <w:sz w:val="24"/>
        </w:rPr>
        <w:t>可考虑采用天然地基，持力层为</w:t>
      </w:r>
      <w:r>
        <w:rPr>
          <w:rFonts w:hint="eastAsia"/>
          <w:sz w:val="24"/>
          <w:lang w:eastAsia="zh-CN"/>
        </w:rPr>
        <w:t>第④层粗砂</w:t>
      </w:r>
      <w:r>
        <w:rPr>
          <w:rFonts w:hint="eastAsia"/>
          <w:sz w:val="24"/>
        </w:rPr>
        <w:t>。</w:t>
      </w:r>
      <w:r>
        <w:rPr>
          <w:rFonts w:hint="eastAsia"/>
          <w:sz w:val="24"/>
          <w:lang w:eastAsia="zh-CN"/>
        </w:rPr>
        <w:t>但考虑抗浮的因素，也可采用桩基础。</w:t>
      </w:r>
    </w:p>
    <w:p>
      <w:pPr>
        <w:pStyle w:val="3"/>
        <w:keepNext w:val="0"/>
        <w:keepLines w:val="0"/>
        <w:spacing w:before="0" w:after="0" w:line="480" w:lineRule="auto"/>
        <w:jc w:val="left"/>
        <w:rPr>
          <w:rFonts w:ascii="Times New Roman" w:hAnsi="Times New Roman" w:eastAsia="黑体" w:cstheme="majorBidi"/>
          <w:b w:val="0"/>
          <w:sz w:val="28"/>
        </w:rPr>
      </w:pPr>
      <w:bookmarkStart w:id="32" w:name="_Toc10468525"/>
      <w:r>
        <w:rPr>
          <w:rFonts w:hint="eastAsia" w:ascii="Times New Roman" w:hAnsi="Times New Roman" w:eastAsia="黑体" w:cstheme="majorBidi"/>
          <w:sz w:val="28"/>
        </w:rPr>
        <w:t>4.2.桩基础分析</w:t>
      </w:r>
      <w:bookmarkEnd w:id="32"/>
    </w:p>
    <w:p>
      <w:pPr>
        <w:spacing w:line="360" w:lineRule="auto"/>
        <w:ind w:firstLine="480" w:firstLineChars="200"/>
        <w:rPr>
          <w:sz w:val="24"/>
        </w:rPr>
      </w:pPr>
      <w:r>
        <w:rPr>
          <w:rFonts w:hint="eastAsia"/>
          <w:sz w:val="24"/>
        </w:rPr>
        <w:t>拟建场地</w:t>
      </w:r>
      <w:r>
        <w:rPr>
          <w:rFonts w:hint="eastAsia"/>
          <w:sz w:val="24"/>
          <w:lang w:eastAsia="zh-CN"/>
        </w:rPr>
        <w:t>第④层粗砂和</w:t>
      </w:r>
      <w:r>
        <w:rPr>
          <w:rFonts w:hint="eastAsia"/>
          <w:sz w:val="24"/>
        </w:rPr>
        <w:t>第⑥层</w:t>
      </w:r>
      <w:r>
        <w:rPr>
          <w:rFonts w:hint="eastAsia"/>
          <w:sz w:val="24"/>
          <w:lang w:eastAsia="zh-CN"/>
        </w:rPr>
        <w:t>强风化砂质泥岩、第⑦层中风化砂质泥岩</w:t>
      </w:r>
      <w:r>
        <w:rPr>
          <w:rFonts w:hint="eastAsia"/>
          <w:sz w:val="24"/>
        </w:rPr>
        <w:t>强度较高、较稳定，</w:t>
      </w:r>
      <w:r>
        <w:rPr>
          <w:sz w:val="24"/>
        </w:rPr>
        <w:t>未发现洞穴及临空面</w:t>
      </w:r>
      <w:r>
        <w:rPr>
          <w:rFonts w:hint="eastAsia"/>
          <w:sz w:val="24"/>
        </w:rPr>
        <w:t>等，可作为桩端持力层。</w:t>
      </w:r>
    </w:p>
    <w:p>
      <w:pPr>
        <w:pStyle w:val="3"/>
        <w:keepNext w:val="0"/>
        <w:keepLines w:val="0"/>
        <w:spacing w:before="0" w:after="0" w:line="480" w:lineRule="auto"/>
        <w:jc w:val="left"/>
        <w:rPr>
          <w:rFonts w:ascii="Times New Roman" w:hAnsi="Times New Roman" w:eastAsia="黑体" w:cstheme="majorBidi"/>
          <w:sz w:val="24"/>
        </w:rPr>
      </w:pPr>
      <w:bookmarkStart w:id="33" w:name="_Toc10468526"/>
      <w:r>
        <w:rPr>
          <w:rFonts w:hint="eastAsia" w:ascii="Times New Roman" w:hAnsi="Times New Roman" w:eastAsia="黑体" w:cstheme="majorBidi"/>
          <w:sz w:val="28"/>
        </w:rPr>
        <w:t>4.3.基础方案建议</w:t>
      </w:r>
      <w:bookmarkEnd w:id="33"/>
    </w:p>
    <w:p>
      <w:pPr>
        <w:spacing w:line="360" w:lineRule="auto"/>
        <w:rPr>
          <w:rFonts w:hint="eastAsia"/>
          <w:sz w:val="24"/>
          <w:lang w:eastAsia="zh-CN"/>
        </w:rPr>
      </w:pPr>
      <w:r>
        <w:rPr>
          <w:b/>
          <w:sz w:val="24"/>
        </w:rPr>
        <w:t>4.</w:t>
      </w:r>
      <w:r>
        <w:rPr>
          <w:rFonts w:hint="eastAsia"/>
          <w:b/>
          <w:sz w:val="24"/>
        </w:rPr>
        <w:t>3</w:t>
      </w:r>
      <w:r>
        <w:rPr>
          <w:b/>
          <w:sz w:val="24"/>
        </w:rPr>
        <w:t>.1</w:t>
      </w:r>
      <w:r>
        <w:rPr>
          <w:rFonts w:hint="eastAsia"/>
          <w:b/>
          <w:sz w:val="24"/>
        </w:rPr>
        <w:t>.</w:t>
      </w:r>
      <w:r>
        <w:rPr>
          <w:rFonts w:hint="eastAsia"/>
          <w:sz w:val="24"/>
        </w:rPr>
        <w:t>根据拟建建筑物的特点、地下室底板埋深及场地的工程地质条件，</w:t>
      </w:r>
      <w:r>
        <w:rPr>
          <w:rFonts w:hint="eastAsia" w:ascii="Times New Roman" w:hAnsi="Times New Roman" w:cs="Times New Roman"/>
          <w:sz w:val="24"/>
          <w:lang w:val="en-US" w:eastAsia="zh-CN"/>
        </w:rPr>
        <w:t>拟建</w:t>
      </w:r>
      <w:r>
        <w:rPr>
          <w:rFonts w:hint="eastAsia" w:cs="Times New Roman"/>
          <w:sz w:val="24"/>
          <w:lang w:val="en-US" w:eastAsia="zh-CN"/>
        </w:rPr>
        <w:t>16-1~16-19为21-28F高层</w:t>
      </w:r>
      <w:r>
        <w:rPr>
          <w:rFonts w:hint="eastAsia" w:ascii="Times New Roman" w:hAnsi="Times New Roman" w:cs="Times New Roman"/>
          <w:sz w:val="24"/>
          <w:lang w:val="en-US" w:eastAsia="zh-CN"/>
        </w:rPr>
        <w:t>住宅，</w:t>
      </w:r>
      <w:r>
        <w:rPr>
          <w:rFonts w:hint="eastAsia" w:cs="Times New Roman"/>
          <w:sz w:val="24"/>
          <w:lang w:val="en-US" w:eastAsia="zh-CN"/>
        </w:rPr>
        <w:t>有1层满铺地下室，埋深约6.0m。</w:t>
      </w:r>
      <w:r>
        <w:rPr>
          <w:rFonts w:hint="eastAsia"/>
          <w:sz w:val="24"/>
        </w:rPr>
        <w:t>可考虑采用天然地基</w:t>
      </w:r>
      <w:r>
        <w:rPr>
          <w:rFonts w:hint="eastAsia"/>
          <w:sz w:val="24"/>
          <w:lang w:eastAsia="zh-CN"/>
        </w:rPr>
        <w:t>，</w:t>
      </w:r>
      <w:r>
        <w:rPr>
          <w:rFonts w:hint="eastAsia"/>
          <w:sz w:val="24"/>
        </w:rPr>
        <w:t>以第④</w:t>
      </w:r>
      <w:r>
        <w:rPr>
          <w:rFonts w:hint="eastAsia"/>
          <w:sz w:val="24"/>
          <w:lang w:eastAsia="zh-CN"/>
        </w:rPr>
        <w:t>粗砂</w:t>
      </w:r>
      <w:r>
        <w:rPr>
          <w:rFonts w:hint="eastAsia"/>
          <w:sz w:val="24"/>
        </w:rPr>
        <w:t>层作为天然地基持力层</w:t>
      </w:r>
      <w:r>
        <w:rPr>
          <w:rFonts w:hint="eastAsia"/>
          <w:sz w:val="24"/>
          <w:lang w:eastAsia="zh-CN"/>
        </w:rPr>
        <w:t>。也可采用桩基础，</w:t>
      </w:r>
      <w:r>
        <w:rPr>
          <w:rFonts w:hint="eastAsia"/>
          <w:sz w:val="24"/>
        </w:rPr>
        <w:t>较适宜的桩型：长螺旋钻孔压灌桩及预应力管桩（PHC）</w:t>
      </w:r>
      <w:r>
        <w:rPr>
          <w:rFonts w:hint="eastAsia"/>
          <w:sz w:val="24"/>
          <w:lang w:eastAsia="zh-CN"/>
        </w:rPr>
        <w:t>、</w:t>
      </w:r>
      <w:r>
        <w:rPr>
          <w:rFonts w:hint="eastAsia"/>
          <w:sz w:val="24"/>
        </w:rPr>
        <w:t>预应力</w:t>
      </w:r>
      <w:r>
        <w:rPr>
          <w:rFonts w:hint="eastAsia"/>
          <w:sz w:val="24"/>
          <w:lang w:eastAsia="zh-CN"/>
        </w:rPr>
        <w:t>混凝土方</w:t>
      </w:r>
      <w:r>
        <w:rPr>
          <w:rFonts w:hint="eastAsia"/>
          <w:sz w:val="24"/>
        </w:rPr>
        <w:t>桩（PH</w:t>
      </w:r>
      <w:r>
        <w:rPr>
          <w:rFonts w:hint="eastAsia"/>
          <w:sz w:val="24"/>
          <w:lang w:val="en-US" w:eastAsia="zh-CN"/>
        </w:rPr>
        <w:t>S</w:t>
      </w:r>
      <w:r>
        <w:rPr>
          <w:rFonts w:hint="eastAsia"/>
          <w:sz w:val="24"/>
        </w:rPr>
        <w:t>）</w:t>
      </w:r>
      <w:r>
        <w:rPr>
          <w:rFonts w:hint="eastAsia"/>
          <w:sz w:val="24"/>
          <w:lang w:eastAsia="zh-CN"/>
        </w:rPr>
        <w:t>，持力层为第⑥层强风化砂质泥岩和第⑦层中风化砂质泥岩。</w:t>
      </w:r>
    </w:p>
    <w:p>
      <w:pPr>
        <w:spacing w:line="360" w:lineRule="auto"/>
        <w:rPr>
          <w:rFonts w:hint="eastAsia"/>
          <w:sz w:val="24"/>
          <w:lang w:eastAsia="zh-CN"/>
        </w:rPr>
      </w:pPr>
      <w:r>
        <w:rPr>
          <w:rFonts w:hint="eastAsia"/>
          <w:b/>
          <w:sz w:val="24"/>
        </w:rPr>
        <w:t>4.3.2.</w:t>
      </w:r>
      <w:r>
        <w:rPr>
          <w:rFonts w:hint="eastAsia"/>
          <w:sz w:val="24"/>
        </w:rPr>
        <w:t>拟建</w:t>
      </w:r>
      <w:r>
        <w:rPr>
          <w:rFonts w:hint="eastAsia"/>
          <w:sz w:val="24"/>
          <w:lang w:val="en-US" w:eastAsia="zh-CN"/>
        </w:rPr>
        <w:t>16-S-1~16-S-11为1-3F</w:t>
      </w:r>
      <w:r>
        <w:rPr>
          <w:rFonts w:hint="eastAsia"/>
          <w:sz w:val="24"/>
          <w:lang w:eastAsia="zh-CN"/>
        </w:rPr>
        <w:t>商业，</w:t>
      </w:r>
      <w:r>
        <w:rPr>
          <w:rFonts w:hint="eastAsia"/>
          <w:sz w:val="24"/>
        </w:rPr>
        <w:t>无地下室</w:t>
      </w:r>
      <w:r>
        <w:rPr>
          <w:rFonts w:hint="eastAsia"/>
          <w:sz w:val="24"/>
          <w:lang w:eastAsia="zh-CN"/>
        </w:rPr>
        <w:t>。</w:t>
      </w:r>
      <w:r>
        <w:rPr>
          <w:rFonts w:hint="eastAsia"/>
          <w:sz w:val="24"/>
        </w:rPr>
        <w:t>可考虑采用天然地基，持力层为第②层粉质黏土。如局部基础未落到持力层上时，可采取加长柱子的方法进行处理。</w:t>
      </w:r>
      <w:r>
        <w:rPr>
          <w:rFonts w:hint="eastAsia"/>
          <w:sz w:val="24"/>
          <w:lang w:eastAsia="zh-CN"/>
        </w:rPr>
        <w:t>并</w:t>
      </w:r>
      <w:r>
        <w:rPr>
          <w:rFonts w:hint="eastAsia"/>
          <w:sz w:val="24"/>
        </w:rPr>
        <w:t>对第③层粉质黏土进行</w:t>
      </w:r>
      <w:r>
        <w:rPr>
          <w:rFonts w:hint="eastAsia"/>
          <w:sz w:val="24"/>
          <w:lang w:eastAsia="zh-CN"/>
        </w:rPr>
        <w:t>软弱</w:t>
      </w:r>
      <w:r>
        <w:rPr>
          <w:rFonts w:hint="eastAsia"/>
          <w:sz w:val="24"/>
        </w:rPr>
        <w:t>下卧层验算。</w:t>
      </w:r>
      <w:r>
        <w:rPr>
          <w:rFonts w:hint="eastAsia"/>
          <w:sz w:val="24"/>
          <w:lang w:eastAsia="zh-CN"/>
        </w:rPr>
        <w:t>也可采用桩基础，</w:t>
      </w:r>
      <w:r>
        <w:rPr>
          <w:rFonts w:hint="eastAsia"/>
          <w:sz w:val="24"/>
        </w:rPr>
        <w:t>较适宜的桩型：预应力管桩（PHC）</w:t>
      </w:r>
      <w:r>
        <w:rPr>
          <w:rFonts w:hint="eastAsia"/>
          <w:sz w:val="24"/>
          <w:lang w:eastAsia="zh-CN"/>
        </w:rPr>
        <w:t>，持力层为第④层粗砂。</w:t>
      </w:r>
    </w:p>
    <w:p>
      <w:pPr>
        <w:spacing w:line="360" w:lineRule="auto"/>
        <w:rPr>
          <w:rFonts w:hint="eastAsia"/>
          <w:sz w:val="24"/>
          <w:lang w:eastAsia="zh-CN"/>
        </w:rPr>
      </w:pPr>
      <w:r>
        <w:rPr>
          <w:rFonts w:hint="eastAsia"/>
          <w:b/>
          <w:sz w:val="24"/>
        </w:rPr>
        <w:t>4.3.3.</w:t>
      </w:r>
      <w:r>
        <w:rPr>
          <w:rFonts w:hint="eastAsia"/>
          <w:sz w:val="24"/>
        </w:rPr>
        <w:t>拟建</w:t>
      </w:r>
      <w:r>
        <w:rPr>
          <w:rFonts w:hint="eastAsia"/>
          <w:sz w:val="24"/>
          <w:lang w:val="en-US" w:eastAsia="zh-CN"/>
        </w:rPr>
        <w:t>DK1，DK2纯地下室部分</w:t>
      </w:r>
      <w:r>
        <w:rPr>
          <w:rFonts w:hint="eastAsia"/>
          <w:sz w:val="24"/>
          <w:lang w:eastAsia="zh-CN"/>
        </w:rPr>
        <w:t>，埋深约</w:t>
      </w:r>
      <w:r>
        <w:rPr>
          <w:rFonts w:hint="eastAsia"/>
          <w:sz w:val="24"/>
          <w:lang w:val="en-US" w:eastAsia="zh-CN"/>
        </w:rPr>
        <w:t>6.0m。</w:t>
      </w:r>
      <w:r>
        <w:rPr>
          <w:rFonts w:hint="eastAsia"/>
          <w:sz w:val="24"/>
        </w:rPr>
        <w:t>可考虑采用天然地基，持力层为</w:t>
      </w:r>
      <w:r>
        <w:rPr>
          <w:rFonts w:hint="eastAsia"/>
          <w:sz w:val="24"/>
          <w:lang w:eastAsia="zh-CN"/>
        </w:rPr>
        <w:t>第④层粗砂</w:t>
      </w:r>
      <w:r>
        <w:rPr>
          <w:rFonts w:hint="eastAsia"/>
          <w:sz w:val="24"/>
        </w:rPr>
        <w:t>。</w:t>
      </w:r>
      <w:r>
        <w:rPr>
          <w:rFonts w:hint="eastAsia"/>
          <w:sz w:val="24"/>
          <w:lang w:eastAsia="zh-CN"/>
        </w:rPr>
        <w:t>但考虑抗浮的因素，也可采用桩基础，</w:t>
      </w:r>
      <w:r>
        <w:rPr>
          <w:rFonts w:hint="eastAsia"/>
          <w:sz w:val="24"/>
        </w:rPr>
        <w:t>较适宜的桩型：长螺旋钻孔压灌桩</w:t>
      </w:r>
      <w:r>
        <w:rPr>
          <w:rFonts w:hint="eastAsia"/>
          <w:sz w:val="24"/>
          <w:lang w:eastAsia="zh-CN"/>
        </w:rPr>
        <w:t>。</w:t>
      </w:r>
    </w:p>
    <w:p>
      <w:pPr>
        <w:spacing w:line="360" w:lineRule="auto"/>
        <w:rPr>
          <w:rFonts w:hint="eastAsia"/>
          <w:sz w:val="24"/>
        </w:rPr>
      </w:pPr>
      <w:r>
        <w:rPr>
          <w:rFonts w:hint="eastAsia"/>
          <w:b/>
          <w:sz w:val="24"/>
        </w:rPr>
        <w:t>4.3.4.</w:t>
      </w:r>
      <w:r>
        <w:rPr>
          <w:rFonts w:hint="eastAsia"/>
          <w:sz w:val="24"/>
        </w:rPr>
        <w:t>地基承载力特征值见表6。</w:t>
      </w:r>
    </w:p>
    <w:p>
      <w:pPr>
        <w:spacing w:line="360" w:lineRule="auto"/>
        <w:rPr>
          <w:rFonts w:hint="eastAsia"/>
          <w:b/>
          <w:bCs w:val="0"/>
          <w:sz w:val="24"/>
        </w:rPr>
      </w:pPr>
      <w:r>
        <w:rPr>
          <w:rFonts w:hint="eastAsia"/>
          <w:b/>
          <w:bCs w:val="0"/>
          <w:sz w:val="24"/>
        </w:rPr>
        <w:t>4.3.</w:t>
      </w:r>
      <w:r>
        <w:rPr>
          <w:rFonts w:hint="eastAsia"/>
          <w:b/>
          <w:bCs w:val="0"/>
          <w:sz w:val="24"/>
          <w:lang w:val="en-US" w:eastAsia="zh-CN"/>
        </w:rPr>
        <w:t>5</w:t>
      </w:r>
      <w:r>
        <w:rPr>
          <w:rFonts w:hint="eastAsia"/>
          <w:b/>
          <w:bCs w:val="0"/>
          <w:sz w:val="24"/>
        </w:rPr>
        <w:t>.</w:t>
      </w:r>
      <w:r>
        <w:rPr>
          <w:rFonts w:hint="eastAsia"/>
          <w:b/>
          <w:bCs w:val="0"/>
          <w:sz w:val="24"/>
          <w:lang w:eastAsia="zh-CN"/>
        </w:rPr>
        <w:t>高层部分如用天然地基，</w:t>
      </w:r>
      <w:r>
        <w:rPr>
          <w:rStyle w:val="31"/>
          <w:rFonts w:hint="eastAsia" w:cs="Times New Roman"/>
          <w:b/>
          <w:bCs w:val="0"/>
          <w:sz w:val="24"/>
        </w:rPr>
        <w:t>地基</w:t>
      </w:r>
      <w:r>
        <w:rPr>
          <w:rStyle w:val="31"/>
          <w:rFonts w:hint="eastAsia" w:ascii="Times New Roman" w:cs="Times New Roman"/>
          <w:b/>
          <w:bCs w:val="0"/>
          <w:sz w:val="24"/>
        </w:rPr>
        <w:t>承载力特征值最终应</w:t>
      </w:r>
      <w:r>
        <w:rPr>
          <w:rStyle w:val="31"/>
          <w:rFonts w:ascii="Times New Roman" w:cs="Times New Roman"/>
          <w:b/>
          <w:bCs w:val="0"/>
          <w:sz w:val="24"/>
        </w:rPr>
        <w:t>由现场</w:t>
      </w:r>
      <w:r>
        <w:rPr>
          <w:rStyle w:val="31"/>
          <w:rFonts w:hint="eastAsia" w:cs="Times New Roman"/>
          <w:b/>
          <w:bCs w:val="0"/>
          <w:sz w:val="24"/>
        </w:rPr>
        <w:t>浅层平板载荷</w:t>
      </w:r>
      <w:r>
        <w:rPr>
          <w:rStyle w:val="31"/>
          <w:rFonts w:ascii="Times New Roman" w:cs="Times New Roman"/>
          <w:b/>
          <w:bCs w:val="0"/>
          <w:sz w:val="24"/>
        </w:rPr>
        <w:t>试验确定。</w:t>
      </w:r>
    </w:p>
    <w:p>
      <w:pPr>
        <w:spacing w:line="360" w:lineRule="auto"/>
        <w:rPr>
          <w:rFonts w:hint="eastAsia"/>
          <w:b/>
          <w:bCs w:val="0"/>
          <w:sz w:val="24"/>
        </w:rPr>
      </w:pPr>
      <w:r>
        <w:rPr>
          <w:rFonts w:hint="eastAsia"/>
          <w:b/>
          <w:bCs w:val="0"/>
          <w:sz w:val="24"/>
        </w:rPr>
        <w:t>4.3.</w:t>
      </w:r>
      <w:r>
        <w:rPr>
          <w:rFonts w:hint="eastAsia"/>
          <w:b/>
          <w:bCs w:val="0"/>
          <w:sz w:val="24"/>
          <w:lang w:val="en-US" w:eastAsia="zh-CN"/>
        </w:rPr>
        <w:t>6</w:t>
      </w:r>
      <w:r>
        <w:rPr>
          <w:rFonts w:hint="eastAsia"/>
          <w:b/>
          <w:bCs w:val="0"/>
          <w:sz w:val="24"/>
        </w:rPr>
        <w:t>.</w:t>
      </w:r>
      <w:r>
        <w:rPr>
          <w:rStyle w:val="31"/>
          <w:rFonts w:hint="eastAsia" w:ascii="Times New Roman" w:cs="Times New Roman"/>
          <w:b/>
          <w:bCs w:val="0"/>
          <w:sz w:val="24"/>
        </w:rPr>
        <w:t>单桩竖向承载力特征值最终应</w:t>
      </w:r>
      <w:r>
        <w:rPr>
          <w:rStyle w:val="31"/>
          <w:rFonts w:ascii="Times New Roman" w:cs="Times New Roman"/>
          <w:b/>
          <w:bCs w:val="0"/>
          <w:sz w:val="24"/>
        </w:rPr>
        <w:t>由现场静载荷试验确定。</w:t>
      </w:r>
    </w:p>
    <w:p>
      <w:pPr>
        <w:pStyle w:val="3"/>
        <w:keepNext w:val="0"/>
        <w:keepLines w:val="0"/>
        <w:spacing w:before="0" w:after="0" w:line="480" w:lineRule="auto"/>
        <w:jc w:val="left"/>
        <w:rPr>
          <w:rFonts w:ascii="Times New Roman" w:hAnsi="Times New Roman" w:eastAsia="黑体" w:cstheme="majorBidi"/>
          <w:sz w:val="28"/>
        </w:rPr>
      </w:pPr>
      <w:bookmarkStart w:id="34" w:name="_Toc10468527"/>
      <w:r>
        <w:rPr>
          <w:rFonts w:hint="eastAsia" w:ascii="Times New Roman" w:hAnsi="Times New Roman" w:eastAsia="黑体" w:cstheme="majorBidi"/>
          <w:sz w:val="28"/>
        </w:rPr>
        <w:t>4.4.桩基础(桩型及桩基计算参数)</w:t>
      </w:r>
      <w:bookmarkEnd w:id="34"/>
    </w:p>
    <w:p>
      <w:pPr>
        <w:spacing w:line="360" w:lineRule="auto"/>
        <w:rPr>
          <w:rFonts w:hint="eastAsia"/>
          <w:sz w:val="24"/>
          <w:lang w:eastAsia="zh-CN"/>
        </w:rPr>
      </w:pPr>
      <w:r>
        <w:rPr>
          <w:b/>
          <w:sz w:val="24"/>
        </w:rPr>
        <w:t>4.</w:t>
      </w:r>
      <w:r>
        <w:rPr>
          <w:rFonts w:hint="eastAsia"/>
          <w:b/>
          <w:sz w:val="24"/>
        </w:rPr>
        <w:t>4.1.</w:t>
      </w:r>
      <w:r>
        <w:rPr>
          <w:rFonts w:hint="eastAsia"/>
          <w:sz w:val="24"/>
        </w:rPr>
        <w:t>桩端持力层：</w:t>
      </w:r>
      <w:r>
        <w:rPr>
          <w:rFonts w:hint="eastAsia"/>
          <w:sz w:val="24"/>
          <w:lang w:eastAsia="zh-CN"/>
        </w:rPr>
        <w:t>第④层粗砂、第⑥层强风化砂质泥岩、第⑦层中风化砂质泥岩。</w:t>
      </w:r>
    </w:p>
    <w:p>
      <w:pPr>
        <w:spacing w:line="360" w:lineRule="auto"/>
        <w:rPr>
          <w:rFonts w:hint="eastAsia" w:eastAsia="宋体"/>
          <w:sz w:val="24"/>
          <w:lang w:eastAsia="zh-CN"/>
        </w:rPr>
      </w:pPr>
      <w:r>
        <w:rPr>
          <w:b/>
          <w:sz w:val="24"/>
        </w:rPr>
        <w:t>4.</w:t>
      </w:r>
      <w:r>
        <w:rPr>
          <w:rFonts w:hint="eastAsia"/>
          <w:b/>
          <w:sz w:val="24"/>
        </w:rPr>
        <w:t>4.2.</w:t>
      </w:r>
      <w:r>
        <w:rPr>
          <w:rFonts w:hint="eastAsia"/>
          <w:sz w:val="24"/>
        </w:rPr>
        <w:t>桩型：长螺旋钻孔压灌桩</w:t>
      </w:r>
      <w:r>
        <w:rPr>
          <w:rFonts w:hint="eastAsia"/>
          <w:sz w:val="24"/>
          <w:lang w:eastAsia="zh-CN"/>
        </w:rPr>
        <w:t>、</w:t>
      </w:r>
      <w:r>
        <w:rPr>
          <w:rFonts w:hint="eastAsia"/>
          <w:sz w:val="24"/>
        </w:rPr>
        <w:t>预应力</w:t>
      </w:r>
      <w:r>
        <w:rPr>
          <w:rFonts w:hint="eastAsia"/>
          <w:sz w:val="24"/>
          <w:lang w:eastAsia="zh-CN"/>
        </w:rPr>
        <w:t>混凝土</w:t>
      </w:r>
      <w:r>
        <w:rPr>
          <w:rFonts w:hint="eastAsia"/>
          <w:sz w:val="24"/>
        </w:rPr>
        <w:t>管桩（PHC）</w:t>
      </w:r>
      <w:r>
        <w:rPr>
          <w:rFonts w:hint="eastAsia"/>
          <w:sz w:val="24"/>
          <w:lang w:eastAsia="zh-CN"/>
        </w:rPr>
        <w:t>、</w:t>
      </w:r>
      <w:r>
        <w:rPr>
          <w:rFonts w:hint="eastAsia"/>
          <w:sz w:val="24"/>
        </w:rPr>
        <w:t>预应力</w:t>
      </w:r>
      <w:r>
        <w:rPr>
          <w:rFonts w:hint="eastAsia"/>
          <w:sz w:val="24"/>
          <w:lang w:eastAsia="zh-CN"/>
        </w:rPr>
        <w:t>混凝土方</w:t>
      </w:r>
      <w:r>
        <w:rPr>
          <w:rFonts w:hint="eastAsia"/>
          <w:sz w:val="24"/>
        </w:rPr>
        <w:t>桩（PH</w:t>
      </w:r>
      <w:r>
        <w:rPr>
          <w:rFonts w:hint="eastAsia"/>
          <w:sz w:val="24"/>
          <w:lang w:val="en-US" w:eastAsia="zh-CN"/>
        </w:rPr>
        <w:t>S</w:t>
      </w:r>
      <w:r>
        <w:rPr>
          <w:rFonts w:hint="eastAsia"/>
          <w:sz w:val="24"/>
        </w:rPr>
        <w:t>）</w:t>
      </w:r>
      <w:r>
        <w:rPr>
          <w:rFonts w:hint="eastAsia"/>
          <w:sz w:val="24"/>
          <w:lang w:eastAsia="zh-CN"/>
        </w:rPr>
        <w:t>。</w:t>
      </w:r>
    </w:p>
    <w:p>
      <w:pPr>
        <w:spacing w:line="360" w:lineRule="auto"/>
        <w:rPr>
          <w:sz w:val="24"/>
        </w:rPr>
      </w:pPr>
      <w:r>
        <w:rPr>
          <w:rFonts w:hint="eastAsia"/>
          <w:b/>
          <w:sz w:val="24"/>
        </w:rPr>
        <w:t>4.4.3.</w:t>
      </w:r>
      <w:r>
        <w:rPr>
          <w:rFonts w:hint="eastAsia"/>
          <w:sz w:val="24"/>
        </w:rPr>
        <w:t>桩的计算参数见下表：</w:t>
      </w:r>
    </w:p>
    <w:p>
      <w:pPr>
        <w:overflowPunct w:val="0"/>
        <w:spacing w:line="360" w:lineRule="auto"/>
        <w:ind w:firstLine="422" w:firstLineChars="200"/>
        <w:jc w:val="center"/>
        <w:rPr>
          <w:rFonts w:ascii="Times New Roman" w:hAnsi="Times New Roman" w:cs="Times New Roman"/>
          <w:sz w:val="24"/>
        </w:rPr>
      </w:pPr>
      <w:r>
        <w:rPr>
          <w:rFonts w:ascii="Times New Roman" w:hAnsi="Times New Roman" w:eastAsia="黑体" w:cs="Times New Roman"/>
          <w:b/>
          <w:szCs w:val="21"/>
        </w:rPr>
        <w:t>表</w:t>
      </w:r>
      <w:r>
        <w:rPr>
          <w:rFonts w:hint="eastAsia" w:eastAsia="黑体" w:cs="Times New Roman"/>
          <w:b/>
          <w:szCs w:val="21"/>
          <w:lang w:val="en-US" w:eastAsia="zh-CN"/>
        </w:rPr>
        <w:t>7</w:t>
      </w:r>
      <w:r>
        <w:rPr>
          <w:rFonts w:ascii="Times New Roman" w:hAnsi="Times New Roman" w:eastAsia="黑体" w:cs="Times New Roman"/>
          <w:b/>
          <w:szCs w:val="21"/>
        </w:rPr>
        <w:t xml:space="preserve">  地基土承载力和桩基设计参数</w:t>
      </w:r>
    </w:p>
    <w:tbl>
      <w:tblPr>
        <w:tblStyle w:val="13"/>
        <w:tblW w:w="4513"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538"/>
        <w:gridCol w:w="1892"/>
        <w:gridCol w:w="1205"/>
        <w:gridCol w:w="1358"/>
        <w:gridCol w:w="1361"/>
        <w:gridCol w:w="1358"/>
        <w:gridCol w:w="136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296" w:type="pct"/>
            <w:vMerge w:val="restart"/>
            <w:shd w:val="clear" w:color="auto" w:fill="auto"/>
            <w:vAlign w:val="center"/>
          </w:tcPr>
          <w:p>
            <w:pPr>
              <w:overflowPunct w:val="0"/>
              <w:jc w:val="center"/>
              <w:rPr>
                <w:rFonts w:ascii="Times New Roman" w:hAnsi="Times New Roman" w:cs="Times New Roman"/>
                <w:szCs w:val="21"/>
              </w:rPr>
            </w:pPr>
            <w:r>
              <w:rPr>
                <w:rFonts w:ascii="Times New Roman" w:hAnsi="Times New Roman" w:cs="Times New Roman"/>
                <w:szCs w:val="21"/>
              </w:rPr>
              <w:t>岩土</w:t>
            </w:r>
          </w:p>
          <w:p>
            <w:pPr>
              <w:overflowPunct w:val="0"/>
              <w:jc w:val="center"/>
              <w:rPr>
                <w:rFonts w:ascii="Times New Roman" w:hAnsi="Times New Roman" w:cs="Times New Roman"/>
                <w:szCs w:val="21"/>
              </w:rPr>
            </w:pPr>
            <w:r>
              <w:rPr>
                <w:rFonts w:ascii="Times New Roman" w:hAnsi="Times New Roman" w:cs="Times New Roman"/>
                <w:szCs w:val="21"/>
              </w:rPr>
              <w:t>层号</w:t>
            </w:r>
          </w:p>
        </w:tc>
        <w:tc>
          <w:tcPr>
            <w:tcW w:w="1042" w:type="pct"/>
            <w:vMerge w:val="restart"/>
            <w:shd w:val="clear" w:color="auto" w:fill="auto"/>
            <w:vAlign w:val="center"/>
          </w:tcPr>
          <w:p>
            <w:pPr>
              <w:overflowPunct w:val="0"/>
              <w:jc w:val="center"/>
              <w:rPr>
                <w:rFonts w:ascii="Times New Roman" w:hAnsi="Times New Roman" w:cs="Times New Roman"/>
                <w:szCs w:val="21"/>
              </w:rPr>
            </w:pPr>
            <w:r>
              <w:rPr>
                <w:rFonts w:ascii="Times New Roman" w:hAnsi="Times New Roman" w:cs="Times New Roman"/>
                <w:szCs w:val="21"/>
              </w:rPr>
              <w:t>岩土名称</w:t>
            </w:r>
          </w:p>
        </w:tc>
        <w:tc>
          <w:tcPr>
            <w:tcW w:w="663" w:type="pct"/>
            <w:vAlign w:val="center"/>
          </w:tcPr>
          <w:p>
            <w:pPr>
              <w:overflowPunct w:val="0"/>
              <w:spacing w:line="280" w:lineRule="exact"/>
              <w:jc w:val="center"/>
              <w:rPr>
                <w:rFonts w:ascii="Times New Roman" w:hAnsi="Times New Roman" w:cs="Times New Roman"/>
              </w:rPr>
            </w:pPr>
            <w:r>
              <w:rPr>
                <w:rFonts w:ascii="Times New Roman" w:hAnsi="Times New Roman" w:cs="Times New Roman"/>
              </w:rPr>
              <w:t>天然地基</w:t>
            </w:r>
          </w:p>
        </w:tc>
        <w:tc>
          <w:tcPr>
            <w:tcW w:w="1498" w:type="pct"/>
            <w:gridSpan w:val="2"/>
            <w:vAlign w:val="center"/>
          </w:tcPr>
          <w:p>
            <w:pPr>
              <w:overflowPunct w:val="0"/>
              <w:spacing w:line="280" w:lineRule="exact"/>
              <w:jc w:val="center"/>
              <w:rPr>
                <w:rFonts w:hint="eastAsia" w:ascii="Times New Roman" w:hAnsi="Times New Roman" w:eastAsia="宋体" w:cs="Times New Roman"/>
                <w:lang w:eastAsia="zh-CN"/>
              </w:rPr>
            </w:pPr>
            <w:r>
              <w:rPr>
                <w:rFonts w:ascii="Times New Roman" w:hAnsi="Times New Roman" w:cs="Times New Roman"/>
              </w:rPr>
              <w:t>预应力混凝土</w:t>
            </w:r>
            <w:r>
              <w:rPr>
                <w:rFonts w:hint="eastAsia" w:ascii="Times New Roman" w:hAnsi="Times New Roman" w:cs="Times New Roman"/>
                <w:lang w:eastAsia="zh-CN"/>
              </w:rPr>
              <w:t>桩</w:t>
            </w:r>
          </w:p>
        </w:tc>
        <w:tc>
          <w:tcPr>
            <w:tcW w:w="1498" w:type="pct"/>
            <w:gridSpan w:val="2"/>
            <w:vAlign w:val="center"/>
          </w:tcPr>
          <w:p>
            <w:pPr>
              <w:overflowPunct w:val="0"/>
              <w:spacing w:line="280" w:lineRule="exact"/>
              <w:jc w:val="center"/>
              <w:rPr>
                <w:rFonts w:ascii="Times New Roman" w:hAnsi="Times New Roman" w:cs="Times New Roman"/>
              </w:rPr>
            </w:pPr>
            <w:r>
              <w:rPr>
                <w:rFonts w:ascii="Times New Roman" w:hAnsi="Times New Roman" w:cs="Times New Roman"/>
              </w:rPr>
              <w:t>长螺旋钻孔压灌砼桩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296" w:type="pct"/>
            <w:vMerge w:val="continue"/>
            <w:vAlign w:val="center"/>
          </w:tcPr>
          <w:p>
            <w:pPr>
              <w:overflowPunct w:val="0"/>
              <w:spacing w:line="400" w:lineRule="exact"/>
              <w:jc w:val="center"/>
              <w:rPr>
                <w:rFonts w:ascii="Times New Roman" w:hAnsi="Times New Roman" w:cs="Times New Roman"/>
              </w:rPr>
            </w:pPr>
          </w:p>
        </w:tc>
        <w:tc>
          <w:tcPr>
            <w:tcW w:w="1042" w:type="pct"/>
            <w:vMerge w:val="continue"/>
            <w:vAlign w:val="center"/>
          </w:tcPr>
          <w:p>
            <w:pPr>
              <w:overflowPunct w:val="0"/>
              <w:spacing w:line="400" w:lineRule="exact"/>
              <w:jc w:val="center"/>
              <w:rPr>
                <w:rFonts w:ascii="Times New Roman" w:hAnsi="Times New Roman" w:cs="Times New Roman"/>
              </w:rPr>
            </w:pPr>
          </w:p>
        </w:tc>
        <w:tc>
          <w:tcPr>
            <w:tcW w:w="663" w:type="pct"/>
            <w:vAlign w:val="center"/>
          </w:tcPr>
          <w:p>
            <w:pPr>
              <w:overflowPunct w:val="0"/>
              <w:spacing w:line="280" w:lineRule="exact"/>
              <w:jc w:val="center"/>
              <w:rPr>
                <w:rFonts w:ascii="Times New Roman" w:hAnsi="Times New Roman" w:cs="Times New Roman"/>
                <w:szCs w:val="21"/>
              </w:rPr>
            </w:pPr>
            <w:r>
              <w:rPr>
                <w:rFonts w:ascii="Times New Roman" w:hAnsi="Times New Roman" w:cs="Times New Roman"/>
                <w:szCs w:val="21"/>
              </w:rPr>
              <w:t>承载力</w:t>
            </w:r>
          </w:p>
          <w:p>
            <w:pPr>
              <w:overflowPunct w:val="0"/>
              <w:spacing w:line="280" w:lineRule="exact"/>
              <w:jc w:val="center"/>
              <w:rPr>
                <w:rFonts w:ascii="Times New Roman" w:hAnsi="Times New Roman" w:cs="Times New Roman"/>
                <w:szCs w:val="21"/>
              </w:rPr>
            </w:pPr>
            <w:r>
              <w:rPr>
                <w:rFonts w:ascii="Times New Roman" w:hAnsi="Times New Roman" w:cs="Times New Roman"/>
                <w:szCs w:val="21"/>
              </w:rPr>
              <w:t>特征值</w:t>
            </w:r>
          </w:p>
          <w:p>
            <w:pPr>
              <w:overflowPunct w:val="0"/>
              <w:spacing w:line="280" w:lineRule="exact"/>
              <w:jc w:val="center"/>
              <w:rPr>
                <w:rFonts w:ascii="Times New Roman" w:hAnsi="Times New Roman" w:cs="Times New Roman"/>
                <w:szCs w:val="21"/>
                <w:vertAlign w:val="subscript"/>
              </w:rPr>
            </w:pPr>
            <w:r>
              <w:rPr>
                <w:rFonts w:ascii="Times New Roman" w:hAnsi="Times New Roman" w:cs="Times New Roman"/>
                <w:i/>
                <w:szCs w:val="21"/>
              </w:rPr>
              <w:t>f</w:t>
            </w:r>
            <w:r>
              <w:rPr>
                <w:rFonts w:ascii="Times New Roman" w:hAnsi="Times New Roman" w:cs="Times New Roman"/>
                <w:szCs w:val="21"/>
                <w:vertAlign w:val="subscript"/>
              </w:rPr>
              <w:t>ak</w:t>
            </w:r>
          </w:p>
          <w:p>
            <w:pPr>
              <w:overflowPunct w:val="0"/>
              <w:spacing w:line="280" w:lineRule="exact"/>
              <w:jc w:val="center"/>
              <w:rPr>
                <w:rFonts w:ascii="Times New Roman" w:hAnsi="Times New Roman" w:cs="Times New Roman"/>
                <w:spacing w:val="-14"/>
                <w:szCs w:val="21"/>
              </w:rPr>
            </w:pPr>
            <w:r>
              <w:rPr>
                <w:rFonts w:ascii="Times New Roman" w:hAnsi="Times New Roman" w:cs="Times New Roman"/>
                <w:szCs w:val="21"/>
              </w:rPr>
              <w:t>（kPa）</w:t>
            </w:r>
          </w:p>
        </w:tc>
        <w:tc>
          <w:tcPr>
            <w:tcW w:w="748" w:type="pct"/>
            <w:vAlign w:val="center"/>
          </w:tcPr>
          <w:p>
            <w:pPr>
              <w:overflowPunct w:val="0"/>
              <w:spacing w:line="280" w:lineRule="exact"/>
              <w:jc w:val="center"/>
              <w:rPr>
                <w:rFonts w:ascii="Times New Roman" w:hAnsi="Times New Roman" w:cs="Times New Roman"/>
                <w:szCs w:val="21"/>
              </w:rPr>
            </w:pPr>
            <w:r>
              <w:rPr>
                <w:rFonts w:ascii="Times New Roman" w:hAnsi="Times New Roman" w:cs="Times New Roman"/>
                <w:szCs w:val="21"/>
              </w:rPr>
              <w:t>侧阻力</w:t>
            </w:r>
          </w:p>
          <w:p>
            <w:pPr>
              <w:overflowPunct w:val="0"/>
              <w:spacing w:line="280" w:lineRule="exact"/>
              <w:jc w:val="center"/>
              <w:rPr>
                <w:rFonts w:ascii="Times New Roman" w:hAnsi="Times New Roman" w:cs="Times New Roman"/>
                <w:szCs w:val="21"/>
              </w:rPr>
            </w:pPr>
            <w:r>
              <w:rPr>
                <w:rFonts w:ascii="Times New Roman" w:hAnsi="Times New Roman" w:cs="Times New Roman"/>
                <w:b/>
                <w:szCs w:val="21"/>
              </w:rPr>
              <w:t>特征值</w:t>
            </w:r>
          </w:p>
          <w:p>
            <w:pPr>
              <w:overflowPunct w:val="0"/>
              <w:spacing w:line="280" w:lineRule="exact"/>
              <w:jc w:val="center"/>
              <w:rPr>
                <w:rFonts w:ascii="Times New Roman" w:hAnsi="Times New Roman" w:cs="Times New Roman"/>
                <w:szCs w:val="21"/>
                <w:vertAlign w:val="subscript"/>
              </w:rPr>
            </w:pPr>
            <w:r>
              <w:rPr>
                <w:rFonts w:ascii="Times New Roman" w:hAnsi="Times New Roman" w:cs="Times New Roman"/>
                <w:i/>
                <w:szCs w:val="21"/>
              </w:rPr>
              <w:t>q</w:t>
            </w:r>
            <w:r>
              <w:rPr>
                <w:rFonts w:ascii="Times New Roman" w:hAnsi="Times New Roman" w:cs="Times New Roman"/>
                <w:szCs w:val="21"/>
                <w:vertAlign w:val="subscript"/>
              </w:rPr>
              <w:t>sia</w:t>
            </w:r>
          </w:p>
          <w:p>
            <w:pPr>
              <w:overflowPunct w:val="0"/>
              <w:spacing w:line="280" w:lineRule="exact"/>
              <w:jc w:val="center"/>
              <w:rPr>
                <w:rFonts w:ascii="Times New Roman" w:hAnsi="Times New Roman" w:cs="Times New Roman"/>
                <w:szCs w:val="21"/>
              </w:rPr>
            </w:pPr>
            <w:r>
              <w:rPr>
                <w:rFonts w:ascii="Times New Roman" w:hAnsi="Times New Roman" w:cs="Times New Roman"/>
                <w:szCs w:val="21"/>
              </w:rPr>
              <w:t>（kPa）</w:t>
            </w:r>
          </w:p>
        </w:tc>
        <w:tc>
          <w:tcPr>
            <w:tcW w:w="750" w:type="pct"/>
            <w:vAlign w:val="center"/>
          </w:tcPr>
          <w:p>
            <w:pPr>
              <w:overflowPunct w:val="0"/>
              <w:spacing w:line="280" w:lineRule="exact"/>
              <w:jc w:val="center"/>
              <w:rPr>
                <w:rFonts w:ascii="Times New Roman" w:hAnsi="Times New Roman" w:cs="Times New Roman"/>
                <w:szCs w:val="21"/>
              </w:rPr>
            </w:pPr>
            <w:r>
              <w:rPr>
                <w:rFonts w:ascii="Times New Roman" w:hAnsi="Times New Roman" w:cs="Times New Roman"/>
                <w:szCs w:val="21"/>
              </w:rPr>
              <w:t>端阻力</w:t>
            </w:r>
          </w:p>
          <w:p>
            <w:pPr>
              <w:overflowPunct w:val="0"/>
              <w:spacing w:line="280" w:lineRule="exact"/>
              <w:jc w:val="center"/>
              <w:rPr>
                <w:rFonts w:ascii="Times New Roman" w:hAnsi="Times New Roman" w:cs="Times New Roman"/>
                <w:szCs w:val="21"/>
              </w:rPr>
            </w:pPr>
            <w:r>
              <w:rPr>
                <w:rFonts w:ascii="Times New Roman" w:hAnsi="Times New Roman" w:cs="Times New Roman"/>
                <w:b/>
                <w:szCs w:val="21"/>
              </w:rPr>
              <w:t>特征值</w:t>
            </w:r>
          </w:p>
          <w:p>
            <w:pPr>
              <w:overflowPunct w:val="0"/>
              <w:spacing w:line="280" w:lineRule="exact"/>
              <w:jc w:val="center"/>
              <w:rPr>
                <w:rFonts w:ascii="Times New Roman" w:hAnsi="Times New Roman" w:cs="Times New Roman"/>
                <w:szCs w:val="21"/>
                <w:vertAlign w:val="subscript"/>
              </w:rPr>
            </w:pPr>
            <w:r>
              <w:rPr>
                <w:rFonts w:ascii="Times New Roman" w:hAnsi="Times New Roman" w:cs="Times New Roman"/>
                <w:i/>
                <w:szCs w:val="21"/>
              </w:rPr>
              <w:t>q</w:t>
            </w:r>
            <w:r>
              <w:rPr>
                <w:rFonts w:ascii="Times New Roman" w:hAnsi="Times New Roman" w:cs="Times New Roman"/>
                <w:szCs w:val="21"/>
                <w:vertAlign w:val="subscript"/>
              </w:rPr>
              <w:t>pa</w:t>
            </w:r>
          </w:p>
          <w:p>
            <w:pPr>
              <w:overflowPunct w:val="0"/>
              <w:spacing w:line="280" w:lineRule="exact"/>
              <w:jc w:val="center"/>
              <w:rPr>
                <w:rFonts w:ascii="Times New Roman" w:hAnsi="Times New Roman" w:cs="Times New Roman"/>
                <w:szCs w:val="21"/>
              </w:rPr>
            </w:pPr>
            <w:r>
              <w:rPr>
                <w:rFonts w:ascii="Times New Roman" w:hAnsi="Times New Roman" w:cs="Times New Roman"/>
                <w:szCs w:val="21"/>
              </w:rPr>
              <w:t>（kPa）</w:t>
            </w:r>
          </w:p>
        </w:tc>
        <w:tc>
          <w:tcPr>
            <w:tcW w:w="748" w:type="pct"/>
            <w:vAlign w:val="center"/>
          </w:tcPr>
          <w:p>
            <w:pPr>
              <w:overflowPunct w:val="0"/>
              <w:spacing w:line="280" w:lineRule="exact"/>
              <w:jc w:val="center"/>
              <w:rPr>
                <w:rFonts w:ascii="Times New Roman" w:hAnsi="Times New Roman" w:cs="Times New Roman"/>
                <w:szCs w:val="21"/>
              </w:rPr>
            </w:pPr>
            <w:r>
              <w:rPr>
                <w:rFonts w:hint="eastAsia" w:ascii="Times New Roman" w:hAnsi="Times New Roman" w:cs="Times New Roman"/>
                <w:szCs w:val="21"/>
              </w:rPr>
              <w:t>极限</w:t>
            </w:r>
            <w:r>
              <w:rPr>
                <w:rFonts w:ascii="Times New Roman" w:hAnsi="Times New Roman" w:cs="Times New Roman"/>
                <w:szCs w:val="21"/>
              </w:rPr>
              <w:t>侧阻力</w:t>
            </w:r>
          </w:p>
          <w:p>
            <w:pPr>
              <w:overflowPunct w:val="0"/>
              <w:spacing w:line="280" w:lineRule="exact"/>
              <w:jc w:val="center"/>
              <w:rPr>
                <w:rFonts w:ascii="Times New Roman" w:hAnsi="Times New Roman" w:cs="Times New Roman"/>
                <w:szCs w:val="21"/>
              </w:rPr>
            </w:pPr>
            <w:r>
              <w:rPr>
                <w:rFonts w:ascii="Times New Roman" w:hAnsi="Times New Roman" w:cs="Times New Roman"/>
                <w:b/>
                <w:szCs w:val="21"/>
              </w:rPr>
              <w:t>标准值</w:t>
            </w:r>
          </w:p>
          <w:p>
            <w:pPr>
              <w:overflowPunct w:val="0"/>
              <w:spacing w:line="280" w:lineRule="exact"/>
              <w:jc w:val="center"/>
              <w:rPr>
                <w:rFonts w:ascii="Times New Roman" w:hAnsi="Times New Roman" w:cs="Times New Roman"/>
                <w:szCs w:val="21"/>
                <w:vertAlign w:val="subscript"/>
              </w:rPr>
            </w:pPr>
            <w:r>
              <w:rPr>
                <w:rFonts w:ascii="Times New Roman" w:hAnsi="Times New Roman" w:cs="Times New Roman"/>
                <w:i/>
                <w:szCs w:val="21"/>
              </w:rPr>
              <w:t>q</w:t>
            </w:r>
            <w:r>
              <w:rPr>
                <w:rFonts w:ascii="Times New Roman" w:hAnsi="Times New Roman" w:cs="Times New Roman"/>
                <w:szCs w:val="21"/>
                <w:vertAlign w:val="subscript"/>
              </w:rPr>
              <w:t>sik</w:t>
            </w:r>
          </w:p>
          <w:p>
            <w:pPr>
              <w:overflowPunct w:val="0"/>
              <w:spacing w:line="280" w:lineRule="exact"/>
              <w:jc w:val="center"/>
              <w:rPr>
                <w:rFonts w:ascii="Times New Roman" w:hAnsi="Times New Roman" w:cs="Times New Roman"/>
                <w:szCs w:val="21"/>
              </w:rPr>
            </w:pPr>
            <w:r>
              <w:rPr>
                <w:rFonts w:ascii="Times New Roman" w:hAnsi="Times New Roman" w:cs="Times New Roman"/>
                <w:szCs w:val="21"/>
              </w:rPr>
              <w:t>（kPa）</w:t>
            </w:r>
          </w:p>
        </w:tc>
        <w:tc>
          <w:tcPr>
            <w:tcW w:w="750" w:type="pct"/>
            <w:vAlign w:val="center"/>
          </w:tcPr>
          <w:p>
            <w:pPr>
              <w:pStyle w:val="9"/>
              <w:pBdr>
                <w:bottom w:val="none" w:color="auto" w:sz="0" w:space="0"/>
              </w:pBdr>
              <w:tabs>
                <w:tab w:val="clear" w:pos="4153"/>
                <w:tab w:val="clear" w:pos="8306"/>
              </w:tabs>
              <w:overflowPunct w:val="0"/>
              <w:snapToGrid/>
              <w:spacing w:line="280" w:lineRule="exact"/>
              <w:rPr>
                <w:rFonts w:ascii="Times New Roman" w:hAnsi="Times New Roman" w:cs="Times New Roman"/>
                <w:sz w:val="21"/>
                <w:szCs w:val="21"/>
              </w:rPr>
            </w:pPr>
            <w:r>
              <w:rPr>
                <w:rFonts w:hint="eastAsia" w:ascii="Times New Roman" w:hAnsi="Times New Roman" w:eastAsia="宋体" w:cs="Times New Roman"/>
                <w:kern w:val="2"/>
                <w:sz w:val="21"/>
                <w:szCs w:val="21"/>
                <w:lang w:val="en-US" w:eastAsia="zh-CN" w:bidi="ar-SA"/>
              </w:rPr>
              <w:t>极限</w:t>
            </w:r>
            <w:r>
              <w:rPr>
                <w:rFonts w:ascii="Times New Roman" w:hAnsi="Times New Roman" w:cs="Times New Roman"/>
                <w:sz w:val="21"/>
                <w:szCs w:val="21"/>
              </w:rPr>
              <w:t>端阻力</w:t>
            </w:r>
          </w:p>
          <w:p>
            <w:pPr>
              <w:pStyle w:val="9"/>
              <w:pBdr>
                <w:bottom w:val="none" w:color="auto" w:sz="0" w:space="0"/>
              </w:pBdr>
              <w:tabs>
                <w:tab w:val="clear" w:pos="4153"/>
                <w:tab w:val="clear" w:pos="8306"/>
              </w:tabs>
              <w:overflowPunct w:val="0"/>
              <w:snapToGrid/>
              <w:spacing w:line="280" w:lineRule="exact"/>
              <w:rPr>
                <w:rFonts w:ascii="Times New Roman" w:hAnsi="Times New Roman" w:cs="Times New Roman"/>
                <w:sz w:val="21"/>
                <w:szCs w:val="21"/>
              </w:rPr>
            </w:pPr>
            <w:r>
              <w:rPr>
                <w:rFonts w:ascii="Times New Roman" w:hAnsi="Times New Roman" w:cs="Times New Roman"/>
                <w:b/>
                <w:sz w:val="21"/>
                <w:szCs w:val="21"/>
              </w:rPr>
              <w:t>标准值</w:t>
            </w:r>
          </w:p>
          <w:p>
            <w:pPr>
              <w:pStyle w:val="9"/>
              <w:pBdr>
                <w:bottom w:val="none" w:color="auto" w:sz="0" w:space="0"/>
              </w:pBdr>
              <w:tabs>
                <w:tab w:val="clear" w:pos="4153"/>
                <w:tab w:val="clear" w:pos="8306"/>
              </w:tabs>
              <w:overflowPunct w:val="0"/>
              <w:snapToGrid/>
              <w:spacing w:line="280" w:lineRule="exact"/>
              <w:rPr>
                <w:rFonts w:ascii="Times New Roman" w:hAnsi="Times New Roman" w:cs="Times New Roman"/>
                <w:sz w:val="21"/>
                <w:szCs w:val="21"/>
                <w:vertAlign w:val="subscript"/>
              </w:rPr>
            </w:pPr>
            <w:r>
              <w:rPr>
                <w:rFonts w:ascii="Times New Roman" w:hAnsi="Times New Roman" w:cs="Times New Roman"/>
                <w:i/>
                <w:sz w:val="21"/>
                <w:szCs w:val="21"/>
              </w:rPr>
              <w:t>q</w:t>
            </w:r>
            <w:r>
              <w:rPr>
                <w:rFonts w:ascii="Times New Roman" w:hAnsi="Times New Roman" w:cs="Times New Roman"/>
                <w:sz w:val="21"/>
                <w:szCs w:val="21"/>
                <w:vertAlign w:val="subscript"/>
              </w:rPr>
              <w:t>pk</w:t>
            </w:r>
          </w:p>
          <w:p>
            <w:pPr>
              <w:pStyle w:val="9"/>
              <w:pBdr>
                <w:bottom w:val="none" w:color="auto" w:sz="0" w:space="0"/>
              </w:pBdr>
              <w:tabs>
                <w:tab w:val="clear" w:pos="4153"/>
                <w:tab w:val="clear" w:pos="8306"/>
              </w:tabs>
              <w:overflowPunct w:val="0"/>
              <w:snapToGrid/>
              <w:spacing w:line="280" w:lineRule="exact"/>
              <w:rPr>
                <w:rFonts w:ascii="Times New Roman" w:hAnsi="Times New Roman" w:cs="Times New Roman"/>
                <w:sz w:val="21"/>
                <w:szCs w:val="21"/>
              </w:rPr>
            </w:pPr>
            <w:r>
              <w:rPr>
                <w:rFonts w:ascii="Times New Roman" w:hAnsi="Times New Roman" w:cs="Times New Roman"/>
                <w:sz w:val="21"/>
                <w:szCs w:val="21"/>
              </w:rPr>
              <w:t>（kPa）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96" w:type="pct"/>
            <w:vAlign w:val="center"/>
          </w:tcPr>
          <w:p>
            <w:pPr>
              <w:jc w:val="center"/>
              <w:rPr>
                <w:rFonts w:ascii="Times New Roman" w:hAnsi="Times New Roman" w:cs="Times New Roman"/>
                <w:szCs w:val="21"/>
              </w:rPr>
            </w:pPr>
            <w:r>
              <w:rPr>
                <w:rFonts w:ascii="Times New Roman" w:hAnsi="Times New Roman" w:cs="Times New Roman"/>
                <w:szCs w:val="21"/>
              </w:rPr>
              <w:t>②</w:t>
            </w:r>
          </w:p>
        </w:tc>
        <w:tc>
          <w:tcPr>
            <w:tcW w:w="1042" w:type="pct"/>
            <w:vAlign w:val="center"/>
          </w:tcPr>
          <w:p>
            <w:pPr>
              <w:jc w:val="center"/>
              <w:rPr>
                <w:rFonts w:ascii="Times New Roman" w:hAnsi="Times New Roman" w:cs="Times New Roman"/>
                <w:szCs w:val="21"/>
              </w:rPr>
            </w:pPr>
            <w:r>
              <w:rPr>
                <w:rFonts w:ascii="Times New Roman" w:hAnsi="Times New Roman" w:cs="Times New Roman"/>
                <w:szCs w:val="21"/>
              </w:rPr>
              <w:t>粉质黏土</w:t>
            </w:r>
          </w:p>
        </w:tc>
        <w:tc>
          <w:tcPr>
            <w:tcW w:w="663" w:type="pct"/>
            <w:vAlign w:val="center"/>
          </w:tcPr>
          <w:p>
            <w:pPr>
              <w:overflowPunct w:val="0"/>
              <w:jc w:val="center"/>
              <w:rPr>
                <w:rFonts w:ascii="Times New Roman" w:hAnsi="Times New Roman" w:cs="Times New Roman"/>
                <w:b/>
                <w:szCs w:val="21"/>
              </w:rPr>
            </w:pPr>
            <w:r>
              <w:rPr>
                <w:rFonts w:ascii="Times New Roman" w:hAnsi="Times New Roman" w:cs="Times New Roman"/>
                <w:b/>
                <w:szCs w:val="21"/>
              </w:rPr>
              <w:t>160</w:t>
            </w:r>
          </w:p>
        </w:tc>
        <w:tc>
          <w:tcPr>
            <w:tcW w:w="748" w:type="pct"/>
            <w:vAlign w:val="center"/>
          </w:tcPr>
          <w:p>
            <w:pPr>
              <w:overflowPunct w:val="0"/>
              <w:jc w:val="center"/>
              <w:rPr>
                <w:rFonts w:ascii="Times New Roman" w:hAnsi="Times New Roman" w:cs="Times New Roman"/>
                <w:b/>
                <w:szCs w:val="21"/>
              </w:rPr>
            </w:pPr>
            <w:r>
              <w:rPr>
                <w:rFonts w:ascii="Times New Roman" w:hAnsi="Times New Roman" w:cs="Times New Roman"/>
                <w:b/>
                <w:szCs w:val="21"/>
              </w:rPr>
              <w:t>30</w:t>
            </w:r>
          </w:p>
        </w:tc>
        <w:tc>
          <w:tcPr>
            <w:tcW w:w="750" w:type="pct"/>
            <w:vAlign w:val="center"/>
          </w:tcPr>
          <w:p>
            <w:pPr>
              <w:jc w:val="center"/>
              <w:rPr>
                <w:rFonts w:ascii="Times New Roman" w:hAnsi="Times New Roman" w:cs="Times New Roman"/>
                <w:b/>
                <w:szCs w:val="21"/>
              </w:rPr>
            </w:pPr>
            <w:r>
              <w:rPr>
                <w:rFonts w:ascii="Times New Roman" w:hAnsi="Times New Roman" w:cs="Times New Roman"/>
                <w:b/>
                <w:szCs w:val="21"/>
              </w:rPr>
              <w:t>——</w:t>
            </w:r>
          </w:p>
        </w:tc>
        <w:tc>
          <w:tcPr>
            <w:tcW w:w="748" w:type="pct"/>
            <w:vAlign w:val="center"/>
          </w:tcPr>
          <w:p>
            <w:pPr>
              <w:overflowPunct w:val="0"/>
              <w:jc w:val="center"/>
              <w:rPr>
                <w:rFonts w:ascii="Times New Roman" w:hAnsi="Times New Roman" w:cs="Times New Roman"/>
                <w:b/>
                <w:szCs w:val="21"/>
              </w:rPr>
            </w:pPr>
            <w:r>
              <w:rPr>
                <w:rFonts w:hint="eastAsia" w:ascii="Times New Roman" w:hAnsi="Times New Roman" w:cs="Times New Roman"/>
                <w:b/>
                <w:szCs w:val="21"/>
              </w:rPr>
              <w:t>48</w:t>
            </w:r>
          </w:p>
        </w:tc>
        <w:tc>
          <w:tcPr>
            <w:tcW w:w="750" w:type="pct"/>
            <w:vAlign w:val="center"/>
          </w:tcPr>
          <w:p>
            <w:pPr>
              <w:jc w:val="center"/>
              <w:rPr>
                <w:rFonts w:ascii="Times New Roman" w:hAnsi="Times New Roman" w:cs="Times New Roman"/>
                <w:sz w:val="24"/>
              </w:rPr>
            </w:pPr>
            <w:r>
              <w:rPr>
                <w:rFonts w:ascii="Times New Roman" w:hAnsi="Times New Roman" w:cs="Times New Roman"/>
                <w:b/>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296" w:type="pct"/>
            <w:vAlign w:val="center"/>
          </w:tcPr>
          <w:p>
            <w:pPr>
              <w:jc w:val="center"/>
              <w:rPr>
                <w:rFonts w:ascii="Times New Roman" w:hAnsi="Times New Roman" w:cs="Times New Roman"/>
                <w:szCs w:val="21"/>
              </w:rPr>
            </w:pPr>
            <w:r>
              <w:rPr>
                <w:rFonts w:ascii="Times New Roman" w:hAnsi="Times New Roman" w:cs="Times New Roman"/>
                <w:szCs w:val="21"/>
              </w:rPr>
              <w:t>③</w:t>
            </w:r>
          </w:p>
        </w:tc>
        <w:tc>
          <w:tcPr>
            <w:tcW w:w="1042" w:type="pct"/>
            <w:vAlign w:val="center"/>
          </w:tcPr>
          <w:p>
            <w:pPr>
              <w:jc w:val="center"/>
              <w:rPr>
                <w:rFonts w:ascii="Times New Roman" w:hAnsi="Times New Roman" w:cs="Times New Roman"/>
                <w:szCs w:val="21"/>
              </w:rPr>
            </w:pPr>
            <w:r>
              <w:rPr>
                <w:rFonts w:ascii="Times New Roman" w:hAnsi="Times New Roman" w:cs="Times New Roman"/>
                <w:szCs w:val="21"/>
              </w:rPr>
              <w:t>粉质黏土</w:t>
            </w:r>
          </w:p>
        </w:tc>
        <w:tc>
          <w:tcPr>
            <w:tcW w:w="663" w:type="pct"/>
            <w:vAlign w:val="center"/>
          </w:tcPr>
          <w:p>
            <w:pPr>
              <w:overflowPunct w:val="0"/>
              <w:jc w:val="center"/>
              <w:rPr>
                <w:rFonts w:ascii="Times New Roman" w:hAnsi="Times New Roman" w:cs="Times New Roman"/>
                <w:b/>
                <w:szCs w:val="21"/>
              </w:rPr>
            </w:pPr>
            <w:r>
              <w:rPr>
                <w:rFonts w:ascii="Times New Roman" w:hAnsi="Times New Roman" w:cs="Times New Roman"/>
                <w:b/>
                <w:szCs w:val="21"/>
              </w:rPr>
              <w:t>110</w:t>
            </w:r>
          </w:p>
        </w:tc>
        <w:tc>
          <w:tcPr>
            <w:tcW w:w="748" w:type="pct"/>
            <w:vAlign w:val="center"/>
          </w:tcPr>
          <w:p>
            <w:pPr>
              <w:overflowPunct w:val="0"/>
              <w:jc w:val="center"/>
              <w:rPr>
                <w:rFonts w:ascii="Times New Roman" w:hAnsi="Times New Roman" w:cs="Times New Roman"/>
                <w:b/>
                <w:szCs w:val="21"/>
              </w:rPr>
            </w:pPr>
            <w:r>
              <w:rPr>
                <w:rFonts w:ascii="Times New Roman" w:hAnsi="Times New Roman" w:cs="Times New Roman"/>
                <w:b/>
                <w:szCs w:val="21"/>
              </w:rPr>
              <w:t>17</w:t>
            </w:r>
          </w:p>
        </w:tc>
        <w:tc>
          <w:tcPr>
            <w:tcW w:w="750" w:type="pct"/>
            <w:vAlign w:val="center"/>
          </w:tcPr>
          <w:p>
            <w:pPr>
              <w:jc w:val="center"/>
              <w:rPr>
                <w:rFonts w:ascii="Times New Roman" w:hAnsi="Times New Roman" w:cs="Times New Roman"/>
                <w:b/>
                <w:szCs w:val="21"/>
              </w:rPr>
            </w:pPr>
            <w:r>
              <w:rPr>
                <w:rFonts w:ascii="Times New Roman" w:hAnsi="Times New Roman" w:cs="Times New Roman"/>
                <w:b/>
                <w:szCs w:val="21"/>
              </w:rPr>
              <w:t>——</w:t>
            </w:r>
          </w:p>
        </w:tc>
        <w:tc>
          <w:tcPr>
            <w:tcW w:w="748" w:type="pct"/>
            <w:vAlign w:val="center"/>
          </w:tcPr>
          <w:p>
            <w:pPr>
              <w:overflowPunct w:val="0"/>
              <w:jc w:val="center"/>
              <w:rPr>
                <w:rFonts w:ascii="Times New Roman" w:hAnsi="Times New Roman" w:cs="Times New Roman"/>
                <w:b/>
                <w:szCs w:val="21"/>
              </w:rPr>
            </w:pPr>
            <w:r>
              <w:rPr>
                <w:rFonts w:hint="eastAsia" w:ascii="Times New Roman" w:hAnsi="Times New Roman" w:cs="Times New Roman"/>
                <w:b/>
                <w:szCs w:val="21"/>
              </w:rPr>
              <w:t>30</w:t>
            </w:r>
          </w:p>
        </w:tc>
        <w:tc>
          <w:tcPr>
            <w:tcW w:w="750" w:type="pct"/>
            <w:vAlign w:val="center"/>
          </w:tcPr>
          <w:p>
            <w:pPr>
              <w:jc w:val="center"/>
              <w:rPr>
                <w:rFonts w:ascii="Times New Roman" w:hAnsi="Times New Roman" w:cs="Times New Roman"/>
                <w:sz w:val="24"/>
              </w:rPr>
            </w:pPr>
            <w:r>
              <w:rPr>
                <w:rFonts w:ascii="Times New Roman" w:hAnsi="Times New Roman" w:cs="Times New Roman"/>
                <w:b/>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296" w:type="pct"/>
            <w:vAlign w:val="center"/>
          </w:tcPr>
          <w:p>
            <w:pPr>
              <w:jc w:val="center"/>
              <w:rPr>
                <w:rFonts w:ascii="Times New Roman" w:hAnsi="Times New Roman" w:cs="Times New Roman"/>
                <w:szCs w:val="21"/>
              </w:rPr>
            </w:pPr>
            <w:r>
              <w:rPr>
                <w:rFonts w:ascii="Times New Roman" w:hAnsi="Times New Roman" w:cs="Times New Roman"/>
                <w:szCs w:val="21"/>
              </w:rPr>
              <w:t>④</w:t>
            </w:r>
          </w:p>
        </w:tc>
        <w:tc>
          <w:tcPr>
            <w:tcW w:w="1042" w:type="pct"/>
            <w:vAlign w:val="center"/>
          </w:tcPr>
          <w:p>
            <w:pPr>
              <w:jc w:val="center"/>
              <w:rPr>
                <w:rFonts w:ascii="Times New Roman" w:hAnsi="Times New Roman" w:cs="Times New Roman"/>
                <w:szCs w:val="21"/>
              </w:rPr>
            </w:pPr>
            <w:r>
              <w:rPr>
                <w:rFonts w:ascii="Times New Roman" w:hAnsi="Times New Roman" w:cs="Times New Roman"/>
                <w:szCs w:val="21"/>
              </w:rPr>
              <w:t>粗砂</w:t>
            </w:r>
          </w:p>
        </w:tc>
        <w:tc>
          <w:tcPr>
            <w:tcW w:w="663" w:type="pct"/>
            <w:vAlign w:val="center"/>
          </w:tcPr>
          <w:p>
            <w:pPr>
              <w:overflowPunct w:val="0"/>
              <w:jc w:val="center"/>
              <w:rPr>
                <w:rFonts w:ascii="Times New Roman" w:hAnsi="Times New Roman" w:cs="Times New Roman"/>
                <w:b/>
                <w:szCs w:val="21"/>
              </w:rPr>
            </w:pPr>
            <w:r>
              <w:rPr>
                <w:rFonts w:ascii="Times New Roman" w:hAnsi="Times New Roman" w:cs="Times New Roman"/>
                <w:b/>
                <w:szCs w:val="21"/>
              </w:rPr>
              <w:t>280</w:t>
            </w:r>
          </w:p>
        </w:tc>
        <w:tc>
          <w:tcPr>
            <w:tcW w:w="748" w:type="pct"/>
            <w:vAlign w:val="center"/>
          </w:tcPr>
          <w:p>
            <w:pPr>
              <w:overflowPunct w:val="0"/>
              <w:jc w:val="center"/>
              <w:rPr>
                <w:rFonts w:ascii="Times New Roman" w:hAnsi="Times New Roman" w:cs="Times New Roman"/>
                <w:b/>
                <w:szCs w:val="21"/>
              </w:rPr>
            </w:pPr>
            <w:r>
              <w:rPr>
                <w:rFonts w:ascii="Times New Roman" w:hAnsi="Times New Roman" w:cs="Times New Roman"/>
                <w:b/>
                <w:szCs w:val="21"/>
              </w:rPr>
              <w:t>50</w:t>
            </w:r>
          </w:p>
        </w:tc>
        <w:tc>
          <w:tcPr>
            <w:tcW w:w="750" w:type="pct"/>
            <w:vAlign w:val="center"/>
          </w:tcPr>
          <w:p>
            <w:pPr>
              <w:jc w:val="center"/>
              <w:rPr>
                <w:rFonts w:ascii="Times New Roman" w:hAnsi="Times New Roman" w:cs="Times New Roman"/>
                <w:b/>
                <w:szCs w:val="21"/>
              </w:rPr>
            </w:pPr>
            <w:r>
              <w:rPr>
                <w:rFonts w:ascii="Times New Roman" w:hAnsi="Times New Roman" w:cs="Times New Roman"/>
                <w:b/>
                <w:szCs w:val="21"/>
              </w:rPr>
              <w:t>5000</w:t>
            </w:r>
          </w:p>
        </w:tc>
        <w:tc>
          <w:tcPr>
            <w:tcW w:w="748" w:type="pct"/>
            <w:vAlign w:val="center"/>
          </w:tcPr>
          <w:p>
            <w:pPr>
              <w:overflowPunct w:val="0"/>
              <w:jc w:val="center"/>
              <w:rPr>
                <w:rFonts w:ascii="Times New Roman" w:hAnsi="Times New Roman" w:cs="Times New Roman"/>
                <w:b/>
                <w:szCs w:val="21"/>
              </w:rPr>
            </w:pPr>
            <w:r>
              <w:rPr>
                <w:rFonts w:hint="eastAsia" w:ascii="Times New Roman" w:hAnsi="Times New Roman" w:cs="Times New Roman"/>
                <w:b/>
                <w:szCs w:val="21"/>
              </w:rPr>
              <w:t>96</w:t>
            </w:r>
          </w:p>
        </w:tc>
        <w:tc>
          <w:tcPr>
            <w:tcW w:w="750" w:type="pct"/>
            <w:vAlign w:val="center"/>
          </w:tcPr>
          <w:p>
            <w:pPr>
              <w:jc w:val="center"/>
              <w:rPr>
                <w:rFonts w:ascii="Times New Roman" w:hAnsi="Times New Roman" w:cs="Times New Roman"/>
                <w:sz w:val="24"/>
              </w:rPr>
            </w:pPr>
            <w:r>
              <w:rPr>
                <w:rFonts w:ascii="Times New Roman" w:hAnsi="Times New Roman" w:cs="Times New Roman"/>
                <w:b/>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296" w:type="pct"/>
            <w:vAlign w:val="center"/>
          </w:tcPr>
          <w:p>
            <w:pPr>
              <w:jc w:val="center"/>
              <w:rPr>
                <w:rFonts w:ascii="Times New Roman" w:hAnsi="Times New Roman" w:cs="Times New Roman"/>
                <w:szCs w:val="21"/>
              </w:rPr>
            </w:pPr>
            <w:r>
              <w:rPr>
                <w:rFonts w:ascii="Times New Roman" w:hAnsi="Times New Roman" w:cs="Times New Roman"/>
                <w:szCs w:val="21"/>
              </w:rPr>
              <w:t>⑤</w:t>
            </w:r>
          </w:p>
        </w:tc>
        <w:tc>
          <w:tcPr>
            <w:tcW w:w="1042" w:type="pct"/>
            <w:vAlign w:val="center"/>
          </w:tcPr>
          <w:p>
            <w:pPr>
              <w:jc w:val="center"/>
              <w:rPr>
                <w:rFonts w:ascii="Times New Roman" w:hAnsi="Times New Roman" w:cs="Times New Roman"/>
                <w:szCs w:val="21"/>
              </w:rPr>
            </w:pPr>
            <w:r>
              <w:rPr>
                <w:rFonts w:ascii="Times New Roman" w:hAnsi="Times New Roman" w:cs="Times New Roman"/>
                <w:szCs w:val="21"/>
              </w:rPr>
              <w:t>全风化砂质泥岩</w:t>
            </w:r>
          </w:p>
        </w:tc>
        <w:tc>
          <w:tcPr>
            <w:tcW w:w="663" w:type="pct"/>
            <w:vAlign w:val="center"/>
          </w:tcPr>
          <w:p>
            <w:pPr>
              <w:overflowPunct w:val="0"/>
              <w:jc w:val="center"/>
              <w:rPr>
                <w:rFonts w:ascii="Times New Roman" w:hAnsi="Times New Roman" w:cs="Times New Roman"/>
                <w:b/>
                <w:szCs w:val="21"/>
              </w:rPr>
            </w:pPr>
            <w:r>
              <w:rPr>
                <w:rFonts w:ascii="Times New Roman" w:hAnsi="Times New Roman" w:cs="Times New Roman"/>
                <w:b/>
                <w:szCs w:val="21"/>
              </w:rPr>
              <w:t>300</w:t>
            </w:r>
          </w:p>
        </w:tc>
        <w:tc>
          <w:tcPr>
            <w:tcW w:w="748" w:type="pct"/>
            <w:vAlign w:val="center"/>
          </w:tcPr>
          <w:p>
            <w:pPr>
              <w:overflowPunct w:val="0"/>
              <w:jc w:val="center"/>
              <w:rPr>
                <w:rFonts w:ascii="Times New Roman" w:hAnsi="Times New Roman" w:cs="Times New Roman"/>
                <w:b/>
                <w:szCs w:val="21"/>
              </w:rPr>
            </w:pPr>
            <w:r>
              <w:rPr>
                <w:rFonts w:ascii="Times New Roman" w:hAnsi="Times New Roman" w:cs="Times New Roman"/>
                <w:b/>
                <w:szCs w:val="21"/>
              </w:rPr>
              <w:t>52</w:t>
            </w:r>
          </w:p>
        </w:tc>
        <w:tc>
          <w:tcPr>
            <w:tcW w:w="750" w:type="pct"/>
            <w:vAlign w:val="center"/>
          </w:tcPr>
          <w:p>
            <w:pPr>
              <w:overflowPunct w:val="0"/>
              <w:jc w:val="center"/>
              <w:rPr>
                <w:rFonts w:ascii="Times New Roman" w:hAnsi="Times New Roman" w:cs="Times New Roman"/>
                <w:b/>
                <w:szCs w:val="21"/>
              </w:rPr>
            </w:pPr>
            <w:r>
              <w:rPr>
                <w:rFonts w:ascii="Times New Roman" w:hAnsi="Times New Roman" w:cs="Times New Roman"/>
                <w:b/>
                <w:szCs w:val="21"/>
              </w:rPr>
              <w:t>3000</w:t>
            </w:r>
          </w:p>
        </w:tc>
        <w:tc>
          <w:tcPr>
            <w:tcW w:w="748" w:type="pct"/>
            <w:vAlign w:val="center"/>
          </w:tcPr>
          <w:p>
            <w:pPr>
              <w:overflowPunct w:val="0"/>
              <w:jc w:val="center"/>
              <w:rPr>
                <w:rFonts w:ascii="Times New Roman" w:hAnsi="Times New Roman" w:cs="Times New Roman"/>
                <w:b/>
                <w:szCs w:val="21"/>
              </w:rPr>
            </w:pPr>
            <w:r>
              <w:rPr>
                <w:rFonts w:hint="eastAsia" w:ascii="Times New Roman" w:hAnsi="Times New Roman" w:cs="Times New Roman"/>
                <w:b/>
                <w:szCs w:val="21"/>
              </w:rPr>
              <w:t>86</w:t>
            </w:r>
          </w:p>
        </w:tc>
        <w:tc>
          <w:tcPr>
            <w:tcW w:w="750" w:type="pct"/>
            <w:vAlign w:val="center"/>
          </w:tcPr>
          <w:p>
            <w:pPr>
              <w:overflowPunct w:val="0"/>
              <w:jc w:val="center"/>
              <w:rPr>
                <w:rFonts w:ascii="Times New Roman" w:hAnsi="Times New Roman" w:cs="Times New Roman"/>
                <w:b/>
                <w:szCs w:val="21"/>
              </w:rPr>
            </w:pPr>
            <w:r>
              <w:rPr>
                <w:rFonts w:ascii="Times New Roman" w:hAnsi="Times New Roman" w:cs="Times New Roman"/>
                <w:b/>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296" w:type="pct"/>
            <w:vAlign w:val="center"/>
          </w:tcPr>
          <w:p>
            <w:pPr>
              <w:jc w:val="center"/>
              <w:rPr>
                <w:rFonts w:ascii="Times New Roman" w:hAnsi="Times New Roman" w:cs="Times New Roman"/>
                <w:szCs w:val="21"/>
              </w:rPr>
            </w:pPr>
            <w:r>
              <w:rPr>
                <w:rFonts w:ascii="Times New Roman" w:hAnsi="Times New Roman" w:cs="Times New Roman"/>
                <w:szCs w:val="21"/>
              </w:rPr>
              <w:t>⑥</w:t>
            </w:r>
          </w:p>
        </w:tc>
        <w:tc>
          <w:tcPr>
            <w:tcW w:w="1042" w:type="pct"/>
            <w:vAlign w:val="center"/>
          </w:tcPr>
          <w:p>
            <w:pPr>
              <w:jc w:val="center"/>
              <w:rPr>
                <w:rFonts w:ascii="Times New Roman" w:hAnsi="Times New Roman" w:cs="Times New Roman"/>
                <w:szCs w:val="21"/>
              </w:rPr>
            </w:pPr>
            <w:r>
              <w:rPr>
                <w:rFonts w:ascii="Times New Roman" w:hAnsi="Times New Roman" w:cs="Times New Roman"/>
                <w:szCs w:val="21"/>
              </w:rPr>
              <w:t>强风化砂质泥岩</w:t>
            </w:r>
          </w:p>
        </w:tc>
        <w:tc>
          <w:tcPr>
            <w:tcW w:w="663" w:type="pct"/>
            <w:vAlign w:val="center"/>
          </w:tcPr>
          <w:p>
            <w:pPr>
              <w:overflowPunct w:val="0"/>
              <w:jc w:val="center"/>
              <w:rPr>
                <w:rFonts w:ascii="Times New Roman" w:hAnsi="Times New Roman" w:cs="Times New Roman"/>
                <w:b/>
                <w:szCs w:val="21"/>
              </w:rPr>
            </w:pPr>
            <w:r>
              <w:rPr>
                <w:rFonts w:ascii="Times New Roman" w:hAnsi="Times New Roman" w:cs="Times New Roman"/>
                <w:b/>
                <w:szCs w:val="21"/>
              </w:rPr>
              <w:t>450</w:t>
            </w:r>
          </w:p>
        </w:tc>
        <w:tc>
          <w:tcPr>
            <w:tcW w:w="748" w:type="pct"/>
            <w:vAlign w:val="center"/>
          </w:tcPr>
          <w:p>
            <w:pPr>
              <w:overflowPunct w:val="0"/>
              <w:jc w:val="center"/>
              <w:rPr>
                <w:rFonts w:ascii="Times New Roman" w:hAnsi="Times New Roman" w:cs="Times New Roman"/>
                <w:b/>
                <w:szCs w:val="21"/>
              </w:rPr>
            </w:pPr>
            <w:r>
              <w:rPr>
                <w:rFonts w:ascii="Times New Roman" w:hAnsi="Times New Roman" w:cs="Times New Roman"/>
                <w:b/>
                <w:szCs w:val="21"/>
              </w:rPr>
              <w:t>95</w:t>
            </w:r>
          </w:p>
        </w:tc>
        <w:tc>
          <w:tcPr>
            <w:tcW w:w="750" w:type="pct"/>
            <w:vAlign w:val="center"/>
          </w:tcPr>
          <w:p>
            <w:pPr>
              <w:overflowPunct w:val="0"/>
              <w:jc w:val="center"/>
              <w:rPr>
                <w:rFonts w:ascii="Times New Roman" w:hAnsi="Times New Roman" w:cs="Times New Roman"/>
                <w:b/>
                <w:szCs w:val="21"/>
              </w:rPr>
            </w:pPr>
            <w:r>
              <w:rPr>
                <w:rFonts w:ascii="Times New Roman" w:hAnsi="Times New Roman" w:cs="Times New Roman"/>
                <w:b/>
                <w:szCs w:val="21"/>
              </w:rPr>
              <w:t>6000</w:t>
            </w:r>
          </w:p>
        </w:tc>
        <w:tc>
          <w:tcPr>
            <w:tcW w:w="748" w:type="pct"/>
            <w:vAlign w:val="center"/>
          </w:tcPr>
          <w:p>
            <w:pPr>
              <w:overflowPunct w:val="0"/>
              <w:jc w:val="center"/>
              <w:rPr>
                <w:rFonts w:hint="default" w:ascii="Times New Roman" w:hAnsi="Times New Roman" w:eastAsia="宋体" w:cs="Times New Roman"/>
                <w:b/>
                <w:szCs w:val="21"/>
                <w:lang w:val="en-US" w:eastAsia="zh-CN"/>
              </w:rPr>
            </w:pPr>
            <w:r>
              <w:rPr>
                <w:rFonts w:hint="eastAsia" w:cs="Times New Roman"/>
                <w:b/>
                <w:szCs w:val="21"/>
                <w:lang w:val="en-US" w:eastAsia="zh-CN"/>
              </w:rPr>
              <w:t>180</w:t>
            </w:r>
          </w:p>
        </w:tc>
        <w:tc>
          <w:tcPr>
            <w:tcW w:w="750" w:type="pct"/>
            <w:vAlign w:val="center"/>
          </w:tcPr>
          <w:p>
            <w:pPr>
              <w:overflowPunct w:val="0"/>
              <w:jc w:val="center"/>
              <w:rPr>
                <w:rFonts w:ascii="Times New Roman" w:hAnsi="Times New Roman" w:cs="Times New Roman"/>
                <w:b/>
                <w:szCs w:val="21"/>
              </w:rPr>
            </w:pPr>
            <w:r>
              <w:rPr>
                <w:rFonts w:hint="eastAsia" w:ascii="Times New Roman" w:hAnsi="Times New Roman" w:cs="Times New Roman"/>
                <w:b/>
                <w:szCs w:val="21"/>
              </w:rPr>
              <w:t>2000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296" w:type="pct"/>
            <w:vAlign w:val="center"/>
          </w:tcPr>
          <w:p>
            <w:pPr>
              <w:jc w:val="center"/>
              <w:rPr>
                <w:rFonts w:ascii="Times New Roman" w:hAnsi="Times New Roman" w:cs="Times New Roman"/>
                <w:szCs w:val="21"/>
              </w:rPr>
            </w:pPr>
            <w:r>
              <w:rPr>
                <w:rFonts w:ascii="Times New Roman" w:hAnsi="Times New Roman" w:cs="Times New Roman"/>
                <w:szCs w:val="21"/>
              </w:rPr>
              <w:t>⑦</w:t>
            </w:r>
          </w:p>
        </w:tc>
        <w:tc>
          <w:tcPr>
            <w:tcW w:w="1042" w:type="pct"/>
            <w:vAlign w:val="center"/>
          </w:tcPr>
          <w:p>
            <w:pPr>
              <w:jc w:val="center"/>
              <w:rPr>
                <w:rFonts w:ascii="Times New Roman" w:hAnsi="Times New Roman" w:cs="Times New Roman"/>
                <w:szCs w:val="21"/>
              </w:rPr>
            </w:pPr>
            <w:r>
              <w:rPr>
                <w:rFonts w:ascii="Times New Roman" w:hAnsi="Times New Roman" w:cs="Times New Roman"/>
                <w:szCs w:val="21"/>
              </w:rPr>
              <w:t>中风化砂质泥岩</w:t>
            </w:r>
          </w:p>
        </w:tc>
        <w:tc>
          <w:tcPr>
            <w:tcW w:w="663" w:type="pct"/>
            <w:vAlign w:val="center"/>
          </w:tcPr>
          <w:p>
            <w:pPr>
              <w:overflowPunct w:val="0"/>
              <w:jc w:val="center"/>
              <w:rPr>
                <w:rFonts w:ascii="Times New Roman" w:hAnsi="Times New Roman" w:cs="Times New Roman"/>
                <w:b/>
                <w:szCs w:val="21"/>
              </w:rPr>
            </w:pPr>
            <w:r>
              <w:rPr>
                <w:rFonts w:ascii="Times New Roman" w:hAnsi="Times New Roman" w:cs="Times New Roman"/>
                <w:b/>
                <w:szCs w:val="21"/>
              </w:rPr>
              <w:t>600</w:t>
            </w:r>
          </w:p>
        </w:tc>
        <w:tc>
          <w:tcPr>
            <w:tcW w:w="748" w:type="pct"/>
            <w:vAlign w:val="center"/>
          </w:tcPr>
          <w:p>
            <w:pPr>
              <w:overflowPunct w:val="0"/>
              <w:jc w:val="center"/>
              <w:rPr>
                <w:rFonts w:ascii="Times New Roman" w:hAnsi="Times New Roman" w:cs="Times New Roman"/>
                <w:b/>
                <w:szCs w:val="21"/>
              </w:rPr>
            </w:pPr>
            <w:r>
              <w:rPr>
                <w:rFonts w:ascii="Times New Roman" w:hAnsi="Times New Roman" w:cs="Times New Roman"/>
                <w:b/>
                <w:szCs w:val="21"/>
              </w:rPr>
              <w:t>——</w:t>
            </w:r>
          </w:p>
        </w:tc>
        <w:tc>
          <w:tcPr>
            <w:tcW w:w="750" w:type="pct"/>
            <w:vAlign w:val="center"/>
          </w:tcPr>
          <w:p>
            <w:pPr>
              <w:overflowPunct w:val="0"/>
              <w:jc w:val="center"/>
              <w:rPr>
                <w:rFonts w:ascii="Times New Roman" w:hAnsi="Times New Roman" w:cs="Times New Roman"/>
                <w:b/>
                <w:szCs w:val="21"/>
              </w:rPr>
            </w:pPr>
            <w:r>
              <w:rPr>
                <w:rFonts w:ascii="Times New Roman" w:hAnsi="Times New Roman" w:cs="Times New Roman"/>
                <w:b/>
                <w:szCs w:val="21"/>
              </w:rPr>
              <w:t>——</w:t>
            </w:r>
          </w:p>
        </w:tc>
        <w:tc>
          <w:tcPr>
            <w:tcW w:w="748" w:type="pct"/>
            <w:vAlign w:val="center"/>
          </w:tcPr>
          <w:p>
            <w:pPr>
              <w:overflowPunct w:val="0"/>
              <w:jc w:val="center"/>
              <w:rPr>
                <w:rFonts w:hint="default" w:ascii="Times New Roman" w:hAnsi="Times New Roman" w:eastAsia="宋体" w:cs="Times New Roman"/>
                <w:b/>
                <w:szCs w:val="21"/>
                <w:lang w:val="en-US" w:eastAsia="zh-CN"/>
              </w:rPr>
            </w:pPr>
            <w:r>
              <w:rPr>
                <w:rFonts w:hint="eastAsia" w:ascii="Times New Roman" w:hAnsi="Times New Roman" w:cs="Times New Roman"/>
                <w:b/>
                <w:szCs w:val="21"/>
              </w:rPr>
              <w:t>2</w:t>
            </w:r>
            <w:r>
              <w:rPr>
                <w:rFonts w:hint="eastAsia" w:cs="Times New Roman"/>
                <w:b/>
                <w:szCs w:val="21"/>
                <w:lang w:val="en-US" w:eastAsia="zh-CN"/>
              </w:rPr>
              <w:t>20</w:t>
            </w:r>
          </w:p>
        </w:tc>
        <w:tc>
          <w:tcPr>
            <w:tcW w:w="750" w:type="pct"/>
            <w:vAlign w:val="center"/>
          </w:tcPr>
          <w:p>
            <w:pPr>
              <w:overflowPunct w:val="0"/>
              <w:jc w:val="center"/>
              <w:rPr>
                <w:rFonts w:ascii="Times New Roman" w:hAnsi="Times New Roman" w:cs="Times New Roman"/>
                <w:b/>
                <w:szCs w:val="21"/>
              </w:rPr>
            </w:pPr>
            <w:r>
              <w:rPr>
                <w:rFonts w:hint="eastAsia" w:ascii="Times New Roman" w:hAnsi="Times New Roman" w:cs="Times New Roman"/>
                <w:b/>
                <w:szCs w:val="21"/>
              </w:rPr>
              <w:t>3</w:t>
            </w:r>
            <w:r>
              <w:rPr>
                <w:rFonts w:hint="eastAsia" w:cs="Times New Roman"/>
                <w:b/>
                <w:szCs w:val="21"/>
                <w:lang w:val="en-US" w:eastAsia="zh-CN"/>
              </w:rPr>
              <w:t>2</w:t>
            </w:r>
            <w:r>
              <w:rPr>
                <w:rFonts w:hint="eastAsia" w:ascii="Times New Roman" w:hAnsi="Times New Roman" w:cs="Times New Roman"/>
                <w:b/>
                <w:szCs w:val="21"/>
              </w:rPr>
              <w:t>00</w:t>
            </w:r>
          </w:p>
        </w:tc>
      </w:tr>
    </w:tbl>
    <w:p>
      <w:pPr>
        <w:pStyle w:val="56"/>
        <w:spacing w:line="360" w:lineRule="auto"/>
        <w:ind w:firstLine="0" w:firstLineChars="0"/>
        <w:rPr>
          <w:rStyle w:val="31"/>
          <w:rFonts w:hint="eastAsia" w:ascii="Times New Roman" w:hAnsi="Times New Roman" w:cs="Times New Roman"/>
          <w:b w:val="0"/>
          <w:sz w:val="24"/>
        </w:rPr>
      </w:pPr>
      <w:r>
        <w:rPr>
          <w:rStyle w:val="31"/>
          <w:rFonts w:hint="eastAsia" w:ascii="Times New Roman" w:hAnsi="Times New Roman" w:cs="Times New Roman"/>
          <w:bCs/>
          <w:sz w:val="24"/>
        </w:rPr>
        <w:t>4.4.4.</w:t>
      </w:r>
      <w:r>
        <w:rPr>
          <w:rStyle w:val="31"/>
          <w:rFonts w:hint="eastAsia" w:ascii="Times New Roman" w:hAnsi="Times New Roman" w:cs="Times New Roman"/>
          <w:b w:val="0"/>
          <w:sz w:val="24"/>
        </w:rPr>
        <w:t>估算单桩承载力：</w:t>
      </w:r>
    </w:p>
    <w:p>
      <w:pPr>
        <w:pStyle w:val="56"/>
        <w:spacing w:line="360" w:lineRule="auto"/>
        <w:ind w:firstLine="0" w:firstLineChars="0"/>
        <w:rPr>
          <w:rFonts w:hint="default"/>
          <w:b/>
          <w:bCs/>
          <w:sz w:val="24"/>
          <w:lang w:val="en-US" w:eastAsia="zh-CN"/>
        </w:rPr>
      </w:pPr>
      <w:r>
        <w:rPr>
          <w:rStyle w:val="31"/>
          <w:rFonts w:hint="eastAsia" w:ascii="Times New Roman" w:hAnsi="Times New Roman" w:cs="Times New Roman"/>
          <w:b/>
          <w:bCs/>
          <w:sz w:val="24"/>
          <w:lang w:val="en-US"/>
        </w:rPr>
        <w:t>4.4.4.1</w:t>
      </w:r>
      <w:r>
        <w:rPr>
          <w:rFonts w:hint="eastAsia"/>
          <w:b/>
          <w:bCs/>
          <w:sz w:val="24"/>
        </w:rPr>
        <w:t>拟建</w:t>
      </w:r>
      <w:r>
        <w:rPr>
          <w:rFonts w:hint="default" w:ascii="Times New Roman" w:hAnsi="Times New Roman" w:cs="Times New Roman"/>
          <w:b/>
          <w:bCs/>
          <w:sz w:val="24"/>
          <w:lang w:val="en-US" w:eastAsia="zh-CN"/>
        </w:rPr>
        <w:t>16-S-1~16-S-11为1-3F</w:t>
      </w:r>
      <w:r>
        <w:rPr>
          <w:rFonts w:hint="default" w:ascii="Times New Roman" w:hAnsi="Times New Roman" w:cs="Times New Roman"/>
          <w:b/>
          <w:bCs/>
          <w:sz w:val="24"/>
          <w:lang w:eastAsia="zh-CN"/>
        </w:rPr>
        <w:t>商业</w:t>
      </w:r>
      <w:r>
        <w:rPr>
          <w:rFonts w:hint="eastAsia"/>
          <w:b/>
          <w:bCs/>
          <w:sz w:val="24"/>
          <w:lang w:eastAsia="zh-CN"/>
        </w:rPr>
        <w:t>部分</w:t>
      </w:r>
    </w:p>
    <w:p>
      <w:pPr>
        <w:spacing w:line="360" w:lineRule="auto"/>
        <w:ind w:firstLine="480" w:firstLineChars="200"/>
        <w:rPr>
          <w:rFonts w:hint="eastAsia"/>
          <w:sz w:val="24"/>
        </w:rPr>
      </w:pPr>
      <w:r>
        <w:rPr>
          <w:rFonts w:hint="eastAsia"/>
          <w:sz w:val="24"/>
        </w:rPr>
        <w:t>预应力</w:t>
      </w:r>
      <w:r>
        <w:rPr>
          <w:rFonts w:hint="eastAsia"/>
          <w:sz w:val="24"/>
          <w:lang w:eastAsia="zh-CN"/>
        </w:rPr>
        <w:t>混凝土</w:t>
      </w:r>
      <w:r>
        <w:rPr>
          <w:rFonts w:hint="eastAsia"/>
          <w:sz w:val="24"/>
        </w:rPr>
        <w:t>管桩（PHC）</w:t>
      </w:r>
    </w:p>
    <w:p>
      <w:pPr>
        <w:spacing w:line="360" w:lineRule="auto"/>
        <w:ind w:firstLine="480" w:firstLineChars="200"/>
        <w:rPr>
          <w:sz w:val="24"/>
        </w:rPr>
      </w:pPr>
      <w:r>
        <w:rPr>
          <w:rFonts w:hint="eastAsia"/>
          <w:sz w:val="24"/>
        </w:rPr>
        <w:t>桩端持力层为第</w:t>
      </w:r>
      <w:r>
        <w:rPr>
          <w:rFonts w:hint="eastAsia"/>
          <w:sz w:val="24"/>
          <w:lang w:eastAsia="zh-CN"/>
        </w:rPr>
        <w:t>④</w:t>
      </w:r>
      <w:r>
        <w:rPr>
          <w:rFonts w:hint="eastAsia"/>
          <w:sz w:val="24"/>
        </w:rPr>
        <w:t>层</w:t>
      </w:r>
      <w:r>
        <w:rPr>
          <w:rFonts w:hint="eastAsia"/>
          <w:sz w:val="24"/>
          <w:lang w:eastAsia="zh-CN"/>
        </w:rPr>
        <w:t>粗砂</w:t>
      </w:r>
      <w:r>
        <w:rPr>
          <w:rFonts w:hint="eastAsia"/>
          <w:sz w:val="24"/>
        </w:rPr>
        <w:t>，具体桩长请设计人员根据建筑荷载参照工程地质剖面图确定，以实际试桩桩长为准。下面以Z</w:t>
      </w:r>
      <w:r>
        <w:rPr>
          <w:rFonts w:hint="eastAsia"/>
          <w:sz w:val="24"/>
          <w:lang w:val="en-US" w:eastAsia="zh-CN"/>
        </w:rPr>
        <w:t>254</w:t>
      </w:r>
      <w:r>
        <w:rPr>
          <w:rFonts w:hint="eastAsia"/>
          <w:sz w:val="24"/>
        </w:rPr>
        <w:t>孔为例，估算单桩竖向承载力特征值。</w:t>
      </w:r>
      <w:r>
        <w:rPr>
          <w:sz w:val="24"/>
        </w:rPr>
        <w:t>桩端进入</w:t>
      </w:r>
      <w:r>
        <w:rPr>
          <w:rFonts w:hint="eastAsia"/>
          <w:sz w:val="24"/>
          <w:lang w:eastAsia="zh-CN"/>
        </w:rPr>
        <w:t>粗砂层</w:t>
      </w:r>
      <w:r>
        <w:rPr>
          <w:rFonts w:hint="eastAsia"/>
          <w:sz w:val="24"/>
        </w:rPr>
        <w:t>2.0</w:t>
      </w:r>
      <w:r>
        <w:rPr>
          <w:sz w:val="24"/>
        </w:rPr>
        <w:t>m，桩长从正负零下</w:t>
      </w:r>
      <w:r>
        <w:rPr>
          <w:rFonts w:hint="eastAsia"/>
          <w:sz w:val="24"/>
          <w:lang w:val="en-US" w:eastAsia="zh-CN"/>
        </w:rPr>
        <w:t>2.0</w:t>
      </w:r>
      <w:r>
        <w:rPr>
          <w:rFonts w:hint="eastAsia"/>
          <w:sz w:val="24"/>
        </w:rPr>
        <w:t>0m起算，</w:t>
      </w:r>
      <w:r>
        <w:rPr>
          <w:sz w:val="24"/>
        </w:rPr>
        <w:t>桩长</w:t>
      </w:r>
      <w:r>
        <w:rPr>
          <w:rFonts w:hint="eastAsia"/>
          <w:sz w:val="24"/>
        </w:rPr>
        <w:t>约</w:t>
      </w:r>
      <w:r>
        <w:rPr>
          <w:rFonts w:hint="eastAsia"/>
          <w:sz w:val="24"/>
          <w:lang w:val="en-US" w:eastAsia="zh-CN"/>
        </w:rPr>
        <w:t>7</w:t>
      </w:r>
      <w:r>
        <w:rPr>
          <w:rFonts w:hint="eastAsia"/>
          <w:sz w:val="24"/>
        </w:rPr>
        <w:t>.0m，桩的计算参数见表7。</w:t>
      </w:r>
    </w:p>
    <w:p>
      <w:pPr>
        <w:spacing w:line="360" w:lineRule="auto"/>
        <w:ind w:firstLine="480" w:firstLineChars="200"/>
        <w:rPr>
          <w:sz w:val="24"/>
        </w:rPr>
      </w:pPr>
      <w:r>
        <w:rPr>
          <w:sz w:val="24"/>
        </w:rPr>
        <w:t>估算单桩竖向承载力</w:t>
      </w:r>
      <w:r>
        <w:rPr>
          <w:rFonts w:hint="eastAsia"/>
          <w:sz w:val="24"/>
        </w:rPr>
        <w:t>特征值</w:t>
      </w:r>
      <w:r>
        <w:rPr>
          <w:sz w:val="24"/>
        </w:rPr>
        <w:t>：</w:t>
      </w:r>
    </w:p>
    <w:p>
      <w:pPr>
        <w:spacing w:line="360" w:lineRule="auto"/>
        <w:ind w:firstLine="480" w:firstLineChars="200"/>
        <w:rPr>
          <w:rFonts w:hint="eastAsia" w:eastAsia="宋体"/>
          <w:sz w:val="24"/>
          <w:lang w:eastAsia="zh-CN"/>
        </w:rPr>
      </w:pPr>
      <w:r>
        <w:rPr>
          <w:rFonts w:hint="eastAsia"/>
          <w:sz w:val="24"/>
        </w:rPr>
        <w:t>桩径若选用D=300mm，桩端以第</w:t>
      </w:r>
      <w:r>
        <w:rPr>
          <w:rFonts w:hint="eastAsia"/>
          <w:sz w:val="24"/>
          <w:lang w:eastAsia="zh-CN"/>
        </w:rPr>
        <w:t>④</w:t>
      </w:r>
      <w:r>
        <w:rPr>
          <w:rFonts w:hint="eastAsia"/>
          <w:sz w:val="24"/>
        </w:rPr>
        <w:t>层</w:t>
      </w:r>
      <w:r>
        <w:rPr>
          <w:rFonts w:hint="eastAsia"/>
          <w:sz w:val="24"/>
          <w:lang w:eastAsia="zh-CN"/>
        </w:rPr>
        <w:t>粗砂</w:t>
      </w:r>
      <w:r>
        <w:rPr>
          <w:rFonts w:hint="eastAsia"/>
          <w:sz w:val="24"/>
        </w:rPr>
        <w:t>为持力层，估算单桩竖向极限承载力标准值为Q</w:t>
      </w:r>
      <w:r>
        <w:rPr>
          <w:rFonts w:hint="eastAsia"/>
          <w:sz w:val="24"/>
          <w:vertAlign w:val="subscript"/>
        </w:rPr>
        <w:t>uk</w:t>
      </w:r>
      <w:r>
        <w:rPr>
          <w:rFonts w:hint="eastAsia"/>
          <w:sz w:val="24"/>
        </w:rPr>
        <w:t>=</w:t>
      </w:r>
      <w:r>
        <w:rPr>
          <w:rFonts w:hint="eastAsia"/>
          <w:sz w:val="24"/>
          <w:lang w:val="en-US" w:eastAsia="zh-CN"/>
        </w:rPr>
        <w:t>1000</w:t>
      </w:r>
      <w:r>
        <w:rPr>
          <w:rFonts w:hint="eastAsia"/>
          <w:sz w:val="24"/>
        </w:rPr>
        <w:t>kN，单桩竖向承载力特征值为</w:t>
      </w:r>
      <w:r>
        <w:rPr>
          <w:sz w:val="24"/>
        </w:rPr>
        <w:t>Ra＝</w:t>
      </w:r>
      <m:oMath>
        <m:f>
          <m:fPr>
            <m:ctrlPr>
              <w:rPr>
                <w:rFonts w:ascii="Cambria Math" w:hAnsi="Cambria Math"/>
                <w:sz w:val="24"/>
              </w:rPr>
            </m:ctrlPr>
          </m:fPr>
          <m:num>
            <m:r>
              <w:rPr>
                <w:rFonts w:ascii="Cambria Math" w:hAnsi="Cambria Math"/>
                <w:sz w:val="24"/>
              </w:rPr>
              <m:t>1</m:t>
            </m:r>
            <m:ctrlPr>
              <w:rPr>
                <w:rFonts w:ascii="Cambria Math" w:hAnsi="Cambria Math"/>
                <w:sz w:val="24"/>
              </w:rPr>
            </m:ctrlPr>
          </m:num>
          <m:den>
            <m:r>
              <w:rPr>
                <w:rFonts w:ascii="Cambria Math" w:hAnsi="Cambria Math"/>
                <w:sz w:val="24"/>
              </w:rPr>
              <m:t>K</m:t>
            </m:r>
            <m:ctrlPr>
              <w:rPr>
                <w:rFonts w:ascii="Cambria Math" w:hAnsi="Cambria Math"/>
                <w:sz w:val="24"/>
              </w:rPr>
            </m:ctrlPr>
          </m:den>
        </m:f>
      </m:oMath>
      <w:r>
        <w:rPr>
          <w:rFonts w:hint="eastAsia"/>
          <w:sz w:val="24"/>
        </w:rPr>
        <w:t>Q</w:t>
      </w:r>
      <w:r>
        <w:rPr>
          <w:rFonts w:hint="eastAsia"/>
          <w:sz w:val="24"/>
          <w:vertAlign w:val="subscript"/>
        </w:rPr>
        <w:t>uk</w:t>
      </w:r>
      <w:r>
        <w:rPr>
          <w:rFonts w:hint="eastAsia" w:ascii="宋体" w:hAnsi="宋体"/>
          <w:sz w:val="24"/>
        </w:rPr>
        <w:t xml:space="preserve"> ,</w:t>
      </w:r>
      <w:r>
        <w:rPr>
          <w:rFonts w:hint="eastAsia" w:ascii="Cambria Math" w:hAnsi="Cambria Math"/>
          <w:i/>
          <w:sz w:val="24"/>
        </w:rPr>
        <w:t>K</w:t>
      </w:r>
      <w:r>
        <w:rPr>
          <w:rFonts w:hint="eastAsia" w:ascii="宋体" w:hAnsi="宋体"/>
          <w:sz w:val="24"/>
        </w:rPr>
        <w:t>=2,故</w:t>
      </w:r>
      <w:r>
        <w:rPr>
          <w:rFonts w:hint="eastAsia"/>
          <w:sz w:val="24"/>
        </w:rPr>
        <w:t xml:space="preserve"> Ra＝</w:t>
      </w:r>
      <w:r>
        <w:rPr>
          <w:rFonts w:hint="eastAsia"/>
          <w:sz w:val="24"/>
          <w:lang w:val="en-US" w:eastAsia="zh-CN"/>
        </w:rPr>
        <w:t>500</w:t>
      </w:r>
      <w:r>
        <w:rPr>
          <w:rFonts w:hint="eastAsia"/>
          <w:sz w:val="24"/>
        </w:rPr>
        <w:t>kN。</w:t>
      </w:r>
    </w:p>
    <w:p>
      <w:pPr>
        <w:spacing w:line="360" w:lineRule="auto"/>
        <w:ind w:firstLine="480" w:firstLineChars="200"/>
        <w:rPr>
          <w:rFonts w:hint="eastAsia" w:eastAsia="宋体"/>
          <w:sz w:val="24"/>
          <w:highlight w:val="yellow"/>
          <w:lang w:eastAsia="zh-CN"/>
        </w:rPr>
      </w:pPr>
      <w:r>
        <w:rPr>
          <w:rFonts w:hint="eastAsia"/>
          <w:sz w:val="24"/>
        </w:rPr>
        <w:t>桩径若选用D=400mm，桩端以第</w:t>
      </w:r>
      <w:r>
        <w:rPr>
          <w:rFonts w:hint="eastAsia"/>
          <w:sz w:val="24"/>
          <w:lang w:eastAsia="zh-CN"/>
        </w:rPr>
        <w:t>④</w:t>
      </w:r>
      <w:r>
        <w:rPr>
          <w:rFonts w:hint="eastAsia"/>
          <w:sz w:val="24"/>
        </w:rPr>
        <w:t>层</w:t>
      </w:r>
      <w:r>
        <w:rPr>
          <w:rFonts w:hint="eastAsia"/>
          <w:sz w:val="24"/>
          <w:lang w:eastAsia="zh-CN"/>
        </w:rPr>
        <w:t>粗砂</w:t>
      </w:r>
      <w:r>
        <w:rPr>
          <w:rFonts w:hint="eastAsia"/>
          <w:sz w:val="24"/>
        </w:rPr>
        <w:t>为持力层，估算单桩竖向极限承载力标准值为Q</w:t>
      </w:r>
      <w:r>
        <w:rPr>
          <w:rFonts w:hint="eastAsia"/>
          <w:sz w:val="24"/>
          <w:vertAlign w:val="subscript"/>
        </w:rPr>
        <w:t>uk</w:t>
      </w:r>
      <w:r>
        <w:rPr>
          <w:rFonts w:hint="eastAsia"/>
          <w:sz w:val="24"/>
        </w:rPr>
        <w:t>=</w:t>
      </w:r>
      <w:r>
        <w:rPr>
          <w:rFonts w:hint="eastAsia"/>
          <w:sz w:val="24"/>
          <w:lang w:val="en-US" w:eastAsia="zh-CN"/>
        </w:rPr>
        <w:t>1600</w:t>
      </w:r>
      <w:r>
        <w:rPr>
          <w:rFonts w:hint="eastAsia"/>
          <w:sz w:val="24"/>
        </w:rPr>
        <w:t>kN，单桩竖向承载力特征值为</w:t>
      </w:r>
      <w:r>
        <w:rPr>
          <w:sz w:val="24"/>
        </w:rPr>
        <w:t>Ra＝</w:t>
      </w:r>
      <m:oMath>
        <m:f>
          <m:fPr>
            <m:ctrlPr>
              <w:rPr>
                <w:rFonts w:ascii="Cambria Math" w:hAnsi="Cambria Math"/>
                <w:sz w:val="24"/>
              </w:rPr>
            </m:ctrlPr>
          </m:fPr>
          <m:num>
            <m:r>
              <w:rPr>
                <w:rFonts w:ascii="Cambria Math" w:hAnsi="Cambria Math"/>
                <w:sz w:val="24"/>
              </w:rPr>
              <m:t>1</m:t>
            </m:r>
            <m:ctrlPr>
              <w:rPr>
                <w:rFonts w:ascii="Cambria Math" w:hAnsi="Cambria Math"/>
                <w:sz w:val="24"/>
              </w:rPr>
            </m:ctrlPr>
          </m:num>
          <m:den>
            <m:r>
              <w:rPr>
                <w:rFonts w:ascii="Cambria Math" w:hAnsi="Cambria Math"/>
                <w:sz w:val="24"/>
              </w:rPr>
              <m:t>K</m:t>
            </m:r>
            <m:ctrlPr>
              <w:rPr>
                <w:rFonts w:ascii="Cambria Math" w:hAnsi="Cambria Math"/>
                <w:sz w:val="24"/>
              </w:rPr>
            </m:ctrlPr>
          </m:den>
        </m:f>
      </m:oMath>
      <w:r>
        <w:rPr>
          <w:rFonts w:hint="eastAsia"/>
          <w:sz w:val="24"/>
        </w:rPr>
        <w:t>Q</w:t>
      </w:r>
      <w:r>
        <w:rPr>
          <w:rFonts w:hint="eastAsia"/>
          <w:sz w:val="24"/>
          <w:vertAlign w:val="subscript"/>
        </w:rPr>
        <w:t>uk</w:t>
      </w:r>
      <w:r>
        <w:rPr>
          <w:rFonts w:hint="eastAsia" w:ascii="宋体" w:hAnsi="宋体"/>
          <w:sz w:val="24"/>
        </w:rPr>
        <w:t xml:space="preserve"> ,</w:t>
      </w:r>
      <w:r>
        <w:rPr>
          <w:rFonts w:hint="eastAsia" w:ascii="Cambria Math" w:hAnsi="Cambria Math"/>
          <w:i/>
          <w:sz w:val="24"/>
        </w:rPr>
        <w:t>K</w:t>
      </w:r>
      <w:r>
        <w:rPr>
          <w:rFonts w:hint="eastAsia" w:ascii="宋体" w:hAnsi="宋体"/>
          <w:sz w:val="24"/>
        </w:rPr>
        <w:t>=2,故</w:t>
      </w:r>
      <w:r>
        <w:rPr>
          <w:rFonts w:hint="eastAsia"/>
          <w:sz w:val="24"/>
        </w:rPr>
        <w:t xml:space="preserve"> Ra＝</w:t>
      </w:r>
      <w:r>
        <w:rPr>
          <w:rFonts w:hint="eastAsia"/>
          <w:sz w:val="24"/>
          <w:lang w:val="en-US" w:eastAsia="zh-CN"/>
        </w:rPr>
        <w:t>800</w:t>
      </w:r>
      <w:r>
        <w:rPr>
          <w:rFonts w:hint="eastAsia"/>
          <w:sz w:val="24"/>
        </w:rPr>
        <w:t>kN。</w:t>
      </w:r>
    </w:p>
    <w:p>
      <w:pPr>
        <w:pStyle w:val="56"/>
        <w:spacing w:line="360" w:lineRule="auto"/>
        <w:ind w:firstLine="0" w:firstLineChars="0"/>
        <w:rPr>
          <w:rFonts w:hint="default"/>
          <w:b/>
          <w:bCs/>
          <w:sz w:val="24"/>
          <w:lang w:val="en-US" w:eastAsia="zh-CN"/>
        </w:rPr>
      </w:pPr>
      <w:r>
        <w:rPr>
          <w:rStyle w:val="31"/>
          <w:rFonts w:hint="eastAsia" w:ascii="Times New Roman" w:hAnsi="Times New Roman" w:cs="Times New Roman"/>
          <w:b/>
          <w:bCs/>
          <w:sz w:val="24"/>
          <w:lang w:val="en-US"/>
        </w:rPr>
        <w:t>4.4.4.2</w:t>
      </w:r>
      <w:r>
        <w:rPr>
          <w:rFonts w:hint="eastAsia" w:ascii="Times New Roman" w:hAnsi="Times New Roman" w:cs="Times New Roman"/>
          <w:b/>
          <w:bCs/>
          <w:sz w:val="24"/>
          <w:lang w:val="en-US" w:eastAsia="zh-CN"/>
        </w:rPr>
        <w:t>拟建</w:t>
      </w:r>
      <w:r>
        <w:rPr>
          <w:rFonts w:hint="default" w:ascii="Times New Roman" w:hAnsi="Times New Roman" w:cs="Times New Roman"/>
          <w:b/>
          <w:bCs/>
          <w:sz w:val="24"/>
          <w:lang w:val="en-US" w:eastAsia="zh-CN"/>
        </w:rPr>
        <w:t>16-1~16-19为21-28</w:t>
      </w:r>
      <w:r>
        <w:rPr>
          <w:rFonts w:hint="eastAsia" w:cs="Times New Roman"/>
          <w:b/>
          <w:bCs/>
          <w:sz w:val="24"/>
          <w:lang w:val="en-US" w:eastAsia="zh-CN"/>
        </w:rPr>
        <w:t>F高层</w:t>
      </w:r>
      <w:r>
        <w:rPr>
          <w:rFonts w:hint="eastAsia" w:ascii="Times New Roman" w:hAnsi="Times New Roman" w:cs="Times New Roman"/>
          <w:b/>
          <w:bCs/>
          <w:sz w:val="24"/>
          <w:lang w:val="en-US" w:eastAsia="zh-CN"/>
        </w:rPr>
        <w:t>住宅</w:t>
      </w:r>
    </w:p>
    <w:p>
      <w:pPr>
        <w:spacing w:line="360" w:lineRule="auto"/>
        <w:ind w:firstLine="482" w:firstLineChars="200"/>
        <w:rPr>
          <w:rFonts w:hint="eastAsia"/>
          <w:sz w:val="24"/>
          <w:lang w:eastAsia="zh-CN"/>
        </w:rPr>
      </w:pPr>
      <w:r>
        <w:rPr>
          <w:rFonts w:hint="eastAsia"/>
          <w:b/>
          <w:bCs/>
          <w:sz w:val="24"/>
          <w:lang w:eastAsia="zh-CN"/>
        </w:rPr>
        <w:t>①</w:t>
      </w:r>
      <w:r>
        <w:rPr>
          <w:rFonts w:hint="eastAsia"/>
          <w:b/>
          <w:bCs/>
          <w:sz w:val="24"/>
        </w:rPr>
        <w:t>预应力</w:t>
      </w:r>
      <w:r>
        <w:rPr>
          <w:rFonts w:hint="eastAsia"/>
          <w:b/>
          <w:bCs/>
          <w:sz w:val="24"/>
          <w:lang w:eastAsia="zh-CN"/>
        </w:rPr>
        <w:t>混凝土</w:t>
      </w:r>
      <w:r>
        <w:rPr>
          <w:rFonts w:hint="eastAsia"/>
          <w:b/>
          <w:bCs/>
          <w:sz w:val="24"/>
        </w:rPr>
        <w:t>管桩（PHC）</w:t>
      </w:r>
    </w:p>
    <w:p>
      <w:pPr>
        <w:spacing w:line="360" w:lineRule="auto"/>
        <w:ind w:firstLine="480" w:firstLineChars="200"/>
        <w:rPr>
          <w:sz w:val="24"/>
        </w:rPr>
      </w:pPr>
      <w:r>
        <w:rPr>
          <w:rFonts w:hint="eastAsia"/>
          <w:sz w:val="24"/>
        </w:rPr>
        <w:t>桩端持力层为第</w:t>
      </w:r>
      <w:r>
        <w:rPr>
          <w:rFonts w:hint="eastAsia"/>
          <w:sz w:val="24"/>
          <w:lang w:eastAsia="zh-CN"/>
        </w:rPr>
        <w:t>⑥</w:t>
      </w:r>
      <w:r>
        <w:rPr>
          <w:rFonts w:hint="eastAsia"/>
          <w:sz w:val="24"/>
        </w:rPr>
        <w:t>层</w:t>
      </w:r>
      <w:r>
        <w:rPr>
          <w:rFonts w:hint="eastAsia"/>
          <w:sz w:val="24"/>
          <w:lang w:eastAsia="zh-CN"/>
        </w:rPr>
        <w:t>强风化砂质泥岩</w:t>
      </w:r>
      <w:r>
        <w:rPr>
          <w:rFonts w:hint="eastAsia"/>
          <w:sz w:val="24"/>
        </w:rPr>
        <w:t>，具体桩长请设计人员根据建筑荷载参照工程地质剖面图确定，以实际试桩桩长为准。下面以Z</w:t>
      </w:r>
      <w:r>
        <w:rPr>
          <w:rFonts w:hint="eastAsia"/>
          <w:sz w:val="24"/>
          <w:lang w:val="en-US" w:eastAsia="zh-CN"/>
        </w:rPr>
        <w:t>48</w:t>
      </w:r>
      <w:r>
        <w:rPr>
          <w:rFonts w:hint="eastAsia"/>
          <w:sz w:val="24"/>
        </w:rPr>
        <w:t>孔为例，估算单桩竖向承载力特征值。</w:t>
      </w:r>
      <w:r>
        <w:rPr>
          <w:sz w:val="24"/>
        </w:rPr>
        <w:t>桩端进入</w:t>
      </w:r>
      <w:r>
        <w:rPr>
          <w:rFonts w:hint="eastAsia"/>
          <w:sz w:val="24"/>
          <w:lang w:eastAsia="zh-CN"/>
        </w:rPr>
        <w:t>强风化砂质泥岩</w:t>
      </w:r>
      <w:r>
        <w:rPr>
          <w:rFonts w:hint="eastAsia"/>
          <w:sz w:val="24"/>
          <w:lang w:val="en-US" w:eastAsia="zh-CN"/>
        </w:rPr>
        <w:t>1.5</w:t>
      </w:r>
      <w:r>
        <w:rPr>
          <w:sz w:val="24"/>
        </w:rPr>
        <w:t>m，桩长从正负零下</w:t>
      </w:r>
      <w:r>
        <w:rPr>
          <w:rFonts w:hint="eastAsia"/>
          <w:sz w:val="24"/>
          <w:lang w:val="en-US" w:eastAsia="zh-CN"/>
        </w:rPr>
        <w:t>6.0</w:t>
      </w:r>
      <w:r>
        <w:rPr>
          <w:rFonts w:hint="eastAsia"/>
          <w:sz w:val="24"/>
        </w:rPr>
        <w:t>0m起算，</w:t>
      </w:r>
      <w:r>
        <w:rPr>
          <w:sz w:val="24"/>
        </w:rPr>
        <w:t>桩长</w:t>
      </w:r>
      <w:r>
        <w:rPr>
          <w:rFonts w:hint="eastAsia"/>
          <w:sz w:val="24"/>
        </w:rPr>
        <w:t>约</w:t>
      </w:r>
      <w:r>
        <w:rPr>
          <w:rFonts w:hint="eastAsia"/>
          <w:sz w:val="24"/>
          <w:lang w:val="en-US" w:eastAsia="zh-CN"/>
        </w:rPr>
        <w:t>7.0</w:t>
      </w:r>
      <w:r>
        <w:rPr>
          <w:rFonts w:hint="eastAsia"/>
          <w:sz w:val="24"/>
        </w:rPr>
        <w:t>m，桩的计算参数见表7。</w:t>
      </w:r>
    </w:p>
    <w:p>
      <w:pPr>
        <w:spacing w:line="360" w:lineRule="auto"/>
        <w:ind w:firstLine="480" w:firstLineChars="200"/>
        <w:rPr>
          <w:sz w:val="24"/>
        </w:rPr>
      </w:pPr>
      <w:r>
        <w:rPr>
          <w:sz w:val="24"/>
        </w:rPr>
        <w:t>估算单桩竖向承载力</w:t>
      </w:r>
      <w:r>
        <w:rPr>
          <w:rFonts w:hint="eastAsia"/>
          <w:sz w:val="24"/>
        </w:rPr>
        <w:t>特征值</w:t>
      </w:r>
      <w:r>
        <w:rPr>
          <w:sz w:val="24"/>
        </w:rPr>
        <w:t>：</w:t>
      </w:r>
    </w:p>
    <w:p>
      <w:pPr>
        <w:spacing w:line="360" w:lineRule="auto"/>
        <w:ind w:firstLine="480" w:firstLineChars="200"/>
        <w:rPr>
          <w:rFonts w:hint="eastAsia" w:eastAsia="宋体"/>
          <w:sz w:val="24"/>
          <w:highlight w:val="yellow"/>
          <w:lang w:eastAsia="zh-CN"/>
        </w:rPr>
      </w:pPr>
      <w:r>
        <w:rPr>
          <w:rFonts w:hint="eastAsia"/>
          <w:sz w:val="24"/>
        </w:rPr>
        <w:t>桩径若选用D=</w:t>
      </w:r>
      <w:r>
        <w:rPr>
          <w:rFonts w:hint="eastAsia"/>
          <w:sz w:val="24"/>
          <w:lang w:val="en-US" w:eastAsia="zh-CN"/>
        </w:rPr>
        <w:t>4</w:t>
      </w:r>
      <w:r>
        <w:rPr>
          <w:rFonts w:hint="eastAsia"/>
          <w:sz w:val="24"/>
        </w:rPr>
        <w:t>00mm，桩端以第</w:t>
      </w:r>
      <w:r>
        <w:rPr>
          <w:rFonts w:hint="eastAsia"/>
          <w:sz w:val="24"/>
          <w:lang w:eastAsia="zh-CN"/>
        </w:rPr>
        <w:t>⑥</w:t>
      </w:r>
      <w:r>
        <w:rPr>
          <w:rFonts w:hint="eastAsia"/>
          <w:sz w:val="24"/>
        </w:rPr>
        <w:t>层</w:t>
      </w:r>
      <w:r>
        <w:rPr>
          <w:rFonts w:hint="eastAsia"/>
          <w:sz w:val="24"/>
          <w:lang w:eastAsia="zh-CN"/>
        </w:rPr>
        <w:t>强风化砂质泥岩</w:t>
      </w:r>
      <w:r>
        <w:rPr>
          <w:rFonts w:hint="eastAsia"/>
          <w:sz w:val="24"/>
        </w:rPr>
        <w:t>为持力层，估算单桩竖向极限承载力标准值为Q</w:t>
      </w:r>
      <w:r>
        <w:rPr>
          <w:rFonts w:hint="eastAsia"/>
          <w:sz w:val="24"/>
          <w:vertAlign w:val="subscript"/>
        </w:rPr>
        <w:t>uk</w:t>
      </w:r>
      <w:r>
        <w:rPr>
          <w:rFonts w:hint="eastAsia"/>
          <w:sz w:val="24"/>
        </w:rPr>
        <w:t>=</w:t>
      </w:r>
      <w:r>
        <w:rPr>
          <w:rFonts w:hint="eastAsia"/>
          <w:sz w:val="24"/>
          <w:lang w:val="en-US" w:eastAsia="zh-CN"/>
        </w:rPr>
        <w:t>2600</w:t>
      </w:r>
      <w:r>
        <w:rPr>
          <w:rFonts w:hint="eastAsia"/>
          <w:sz w:val="24"/>
        </w:rPr>
        <w:t>kN，单桩竖向承载力特征值为</w:t>
      </w:r>
      <w:r>
        <w:rPr>
          <w:sz w:val="24"/>
        </w:rPr>
        <w:t>Ra＝</w:t>
      </w:r>
      <m:oMath>
        <m:f>
          <m:fPr>
            <m:ctrlPr>
              <w:rPr>
                <w:rFonts w:ascii="Cambria Math" w:hAnsi="Cambria Math"/>
                <w:sz w:val="24"/>
              </w:rPr>
            </m:ctrlPr>
          </m:fPr>
          <m:num>
            <m:r>
              <w:rPr>
                <w:rFonts w:ascii="Cambria Math" w:hAnsi="Cambria Math"/>
                <w:sz w:val="24"/>
              </w:rPr>
              <m:t>1</m:t>
            </m:r>
            <m:ctrlPr>
              <w:rPr>
                <w:rFonts w:ascii="Cambria Math" w:hAnsi="Cambria Math"/>
                <w:sz w:val="24"/>
              </w:rPr>
            </m:ctrlPr>
          </m:num>
          <m:den>
            <m:r>
              <w:rPr>
                <w:rFonts w:ascii="Cambria Math" w:hAnsi="Cambria Math"/>
                <w:sz w:val="24"/>
              </w:rPr>
              <m:t>K</m:t>
            </m:r>
            <m:ctrlPr>
              <w:rPr>
                <w:rFonts w:ascii="Cambria Math" w:hAnsi="Cambria Math"/>
                <w:sz w:val="24"/>
              </w:rPr>
            </m:ctrlPr>
          </m:den>
        </m:f>
      </m:oMath>
      <w:r>
        <w:rPr>
          <w:rFonts w:hint="eastAsia"/>
          <w:sz w:val="24"/>
        </w:rPr>
        <w:t>Q</w:t>
      </w:r>
      <w:r>
        <w:rPr>
          <w:rFonts w:hint="eastAsia"/>
          <w:sz w:val="24"/>
          <w:vertAlign w:val="subscript"/>
        </w:rPr>
        <w:t>uk</w:t>
      </w:r>
      <w:r>
        <w:rPr>
          <w:rFonts w:hint="eastAsia" w:ascii="宋体" w:hAnsi="宋体"/>
          <w:sz w:val="24"/>
        </w:rPr>
        <w:t xml:space="preserve"> ,</w:t>
      </w:r>
      <w:r>
        <w:rPr>
          <w:rFonts w:hint="eastAsia" w:ascii="Cambria Math" w:hAnsi="Cambria Math"/>
          <w:i/>
          <w:sz w:val="24"/>
        </w:rPr>
        <w:t>K</w:t>
      </w:r>
      <w:r>
        <w:rPr>
          <w:rFonts w:hint="eastAsia" w:ascii="宋体" w:hAnsi="宋体"/>
          <w:sz w:val="24"/>
        </w:rPr>
        <w:t>=2,故</w:t>
      </w:r>
      <w:r>
        <w:rPr>
          <w:rFonts w:hint="eastAsia"/>
          <w:sz w:val="24"/>
        </w:rPr>
        <w:t xml:space="preserve"> Ra＝</w:t>
      </w:r>
      <w:r>
        <w:rPr>
          <w:rFonts w:hint="eastAsia"/>
          <w:sz w:val="24"/>
          <w:lang w:val="en-US" w:eastAsia="zh-CN"/>
        </w:rPr>
        <w:t>1300</w:t>
      </w:r>
      <w:r>
        <w:rPr>
          <w:rFonts w:hint="eastAsia"/>
          <w:sz w:val="24"/>
        </w:rPr>
        <w:t>kN。</w:t>
      </w:r>
    </w:p>
    <w:p>
      <w:pPr>
        <w:spacing w:line="360" w:lineRule="auto"/>
        <w:ind w:firstLine="480" w:firstLineChars="200"/>
        <w:rPr>
          <w:rFonts w:hint="eastAsia" w:eastAsia="宋体"/>
          <w:sz w:val="24"/>
          <w:lang w:eastAsia="zh-CN"/>
        </w:rPr>
      </w:pPr>
      <w:r>
        <w:rPr>
          <w:rFonts w:hint="eastAsia"/>
          <w:sz w:val="24"/>
        </w:rPr>
        <w:t>桩径若选用D=</w:t>
      </w:r>
      <w:r>
        <w:rPr>
          <w:rFonts w:hint="eastAsia"/>
          <w:sz w:val="24"/>
          <w:lang w:val="en-US" w:eastAsia="zh-CN"/>
        </w:rPr>
        <w:t>5</w:t>
      </w:r>
      <w:r>
        <w:rPr>
          <w:rFonts w:hint="eastAsia"/>
          <w:sz w:val="24"/>
        </w:rPr>
        <w:t>00mm，桩端以第</w:t>
      </w:r>
      <w:r>
        <w:rPr>
          <w:rFonts w:hint="eastAsia"/>
          <w:sz w:val="24"/>
          <w:lang w:eastAsia="zh-CN"/>
        </w:rPr>
        <w:t>⑥</w:t>
      </w:r>
      <w:r>
        <w:rPr>
          <w:rFonts w:hint="eastAsia"/>
          <w:sz w:val="24"/>
        </w:rPr>
        <w:t>层</w:t>
      </w:r>
      <w:r>
        <w:rPr>
          <w:rFonts w:hint="eastAsia"/>
          <w:sz w:val="24"/>
          <w:lang w:eastAsia="zh-CN"/>
        </w:rPr>
        <w:t>强风化砂质泥岩</w:t>
      </w:r>
      <w:r>
        <w:rPr>
          <w:rFonts w:hint="eastAsia"/>
          <w:sz w:val="24"/>
        </w:rPr>
        <w:t>为持力层，估算单桩竖向极限承载力标准值为Q</w:t>
      </w:r>
      <w:r>
        <w:rPr>
          <w:rFonts w:hint="eastAsia"/>
          <w:sz w:val="24"/>
          <w:vertAlign w:val="subscript"/>
        </w:rPr>
        <w:t>uk</w:t>
      </w:r>
      <w:r>
        <w:rPr>
          <w:rFonts w:hint="eastAsia"/>
          <w:sz w:val="24"/>
        </w:rPr>
        <w:t>=</w:t>
      </w:r>
      <w:r>
        <w:rPr>
          <w:rFonts w:hint="eastAsia"/>
          <w:sz w:val="24"/>
          <w:lang w:val="en-US" w:eastAsia="zh-CN"/>
        </w:rPr>
        <w:t>3800</w:t>
      </w:r>
      <w:r>
        <w:rPr>
          <w:rFonts w:hint="eastAsia"/>
          <w:sz w:val="24"/>
        </w:rPr>
        <w:t>kN，单桩竖向承载力特征值为</w:t>
      </w:r>
      <w:r>
        <w:rPr>
          <w:sz w:val="24"/>
        </w:rPr>
        <w:t>Ra＝</w:t>
      </w:r>
      <m:oMath>
        <m:f>
          <m:fPr>
            <m:ctrlPr>
              <w:rPr>
                <w:rFonts w:ascii="Cambria Math" w:hAnsi="Cambria Math"/>
                <w:sz w:val="24"/>
              </w:rPr>
            </m:ctrlPr>
          </m:fPr>
          <m:num>
            <m:r>
              <w:rPr>
                <w:rFonts w:ascii="Cambria Math" w:hAnsi="Cambria Math"/>
                <w:sz w:val="24"/>
              </w:rPr>
              <m:t>1</m:t>
            </m:r>
            <m:ctrlPr>
              <w:rPr>
                <w:rFonts w:ascii="Cambria Math" w:hAnsi="Cambria Math"/>
                <w:sz w:val="24"/>
              </w:rPr>
            </m:ctrlPr>
          </m:num>
          <m:den>
            <m:r>
              <w:rPr>
                <w:rFonts w:ascii="Cambria Math" w:hAnsi="Cambria Math"/>
                <w:sz w:val="24"/>
              </w:rPr>
              <m:t>K</m:t>
            </m:r>
            <m:ctrlPr>
              <w:rPr>
                <w:rFonts w:ascii="Cambria Math" w:hAnsi="Cambria Math"/>
                <w:sz w:val="24"/>
              </w:rPr>
            </m:ctrlPr>
          </m:den>
        </m:f>
      </m:oMath>
      <w:r>
        <w:rPr>
          <w:rFonts w:hint="eastAsia"/>
          <w:sz w:val="24"/>
        </w:rPr>
        <w:t>Q</w:t>
      </w:r>
      <w:r>
        <w:rPr>
          <w:rFonts w:hint="eastAsia"/>
          <w:sz w:val="24"/>
          <w:vertAlign w:val="subscript"/>
        </w:rPr>
        <w:t>uk</w:t>
      </w:r>
      <w:r>
        <w:rPr>
          <w:rFonts w:hint="eastAsia" w:ascii="宋体" w:hAnsi="宋体"/>
          <w:sz w:val="24"/>
        </w:rPr>
        <w:t xml:space="preserve"> ,</w:t>
      </w:r>
      <w:r>
        <w:rPr>
          <w:rFonts w:hint="eastAsia" w:ascii="Cambria Math" w:hAnsi="Cambria Math"/>
          <w:i/>
          <w:sz w:val="24"/>
        </w:rPr>
        <w:t>K</w:t>
      </w:r>
      <w:r>
        <w:rPr>
          <w:rFonts w:hint="eastAsia" w:ascii="宋体" w:hAnsi="宋体"/>
          <w:sz w:val="24"/>
        </w:rPr>
        <w:t>=2,故</w:t>
      </w:r>
      <w:r>
        <w:rPr>
          <w:rFonts w:hint="eastAsia"/>
          <w:sz w:val="24"/>
        </w:rPr>
        <w:t xml:space="preserve"> Ra＝</w:t>
      </w:r>
      <w:r>
        <w:rPr>
          <w:rFonts w:hint="eastAsia"/>
          <w:sz w:val="24"/>
          <w:lang w:val="en-US" w:eastAsia="zh-CN"/>
        </w:rPr>
        <w:t>1900</w:t>
      </w:r>
      <w:r>
        <w:rPr>
          <w:rFonts w:hint="eastAsia"/>
          <w:sz w:val="24"/>
        </w:rPr>
        <w:t>kN。</w:t>
      </w:r>
    </w:p>
    <w:p>
      <w:pPr>
        <w:spacing w:line="360" w:lineRule="auto"/>
        <w:ind w:firstLine="482" w:firstLineChars="200"/>
        <w:rPr>
          <w:rFonts w:hint="eastAsia"/>
          <w:b/>
          <w:bCs/>
          <w:sz w:val="24"/>
          <w:lang w:eastAsia="zh-CN"/>
        </w:rPr>
      </w:pPr>
      <w:r>
        <w:rPr>
          <w:rFonts w:hint="eastAsia"/>
          <w:b/>
          <w:bCs/>
          <w:sz w:val="24"/>
          <w:lang w:eastAsia="zh-CN"/>
        </w:rPr>
        <w:t>②</w:t>
      </w:r>
      <w:r>
        <w:rPr>
          <w:rFonts w:hint="eastAsia"/>
          <w:b/>
          <w:bCs/>
          <w:sz w:val="24"/>
        </w:rPr>
        <w:t>预应力</w:t>
      </w:r>
      <w:r>
        <w:rPr>
          <w:rFonts w:hint="eastAsia"/>
          <w:b/>
          <w:bCs/>
          <w:sz w:val="24"/>
          <w:lang w:eastAsia="zh-CN"/>
        </w:rPr>
        <w:t>混凝土方</w:t>
      </w:r>
      <w:r>
        <w:rPr>
          <w:rFonts w:hint="eastAsia"/>
          <w:b/>
          <w:bCs/>
          <w:sz w:val="24"/>
        </w:rPr>
        <w:t>桩（PH</w:t>
      </w:r>
      <w:r>
        <w:rPr>
          <w:rFonts w:hint="eastAsia"/>
          <w:b/>
          <w:bCs/>
          <w:sz w:val="24"/>
          <w:lang w:val="en-US" w:eastAsia="zh-CN"/>
        </w:rPr>
        <w:t>S</w:t>
      </w:r>
      <w:r>
        <w:rPr>
          <w:rFonts w:hint="eastAsia"/>
          <w:b/>
          <w:bCs/>
          <w:sz w:val="24"/>
        </w:rPr>
        <w:t>）</w:t>
      </w:r>
    </w:p>
    <w:p>
      <w:pPr>
        <w:spacing w:line="360" w:lineRule="auto"/>
        <w:ind w:firstLine="480" w:firstLineChars="200"/>
        <w:rPr>
          <w:sz w:val="24"/>
        </w:rPr>
      </w:pPr>
      <w:r>
        <w:rPr>
          <w:rFonts w:hint="eastAsia"/>
          <w:sz w:val="24"/>
        </w:rPr>
        <w:t>桩端持力层为第</w:t>
      </w:r>
      <w:r>
        <w:rPr>
          <w:rFonts w:hint="eastAsia"/>
          <w:sz w:val="24"/>
          <w:lang w:eastAsia="zh-CN"/>
        </w:rPr>
        <w:t>⑥</w:t>
      </w:r>
      <w:r>
        <w:rPr>
          <w:rFonts w:hint="eastAsia"/>
          <w:sz w:val="24"/>
        </w:rPr>
        <w:t>层</w:t>
      </w:r>
      <w:r>
        <w:rPr>
          <w:rFonts w:hint="eastAsia"/>
          <w:sz w:val="24"/>
          <w:lang w:eastAsia="zh-CN"/>
        </w:rPr>
        <w:t>强风化砂质泥岩</w:t>
      </w:r>
      <w:r>
        <w:rPr>
          <w:rFonts w:hint="eastAsia"/>
          <w:sz w:val="24"/>
        </w:rPr>
        <w:t>，具体桩长请设计人员根据建筑荷载参照工程地质剖面图确定，以实际试桩桩长为准。下面以Z</w:t>
      </w:r>
      <w:r>
        <w:rPr>
          <w:rFonts w:hint="eastAsia"/>
          <w:sz w:val="24"/>
          <w:lang w:val="en-US" w:eastAsia="zh-CN"/>
        </w:rPr>
        <w:t>48</w:t>
      </w:r>
      <w:r>
        <w:rPr>
          <w:rFonts w:hint="eastAsia"/>
          <w:sz w:val="24"/>
        </w:rPr>
        <w:t>孔为例，估算单桩竖向承载力特征值。</w:t>
      </w:r>
      <w:r>
        <w:rPr>
          <w:sz w:val="24"/>
        </w:rPr>
        <w:t>桩端进入</w:t>
      </w:r>
      <w:r>
        <w:rPr>
          <w:rFonts w:hint="eastAsia"/>
          <w:sz w:val="24"/>
          <w:lang w:eastAsia="zh-CN"/>
        </w:rPr>
        <w:t>强风化砂质泥岩</w:t>
      </w:r>
      <w:r>
        <w:rPr>
          <w:rFonts w:hint="eastAsia"/>
          <w:sz w:val="24"/>
          <w:lang w:val="en-US" w:eastAsia="zh-CN"/>
        </w:rPr>
        <w:t>1.5</w:t>
      </w:r>
      <w:r>
        <w:rPr>
          <w:sz w:val="24"/>
        </w:rPr>
        <w:t>m，桩长从正负零下</w:t>
      </w:r>
      <w:r>
        <w:rPr>
          <w:rFonts w:hint="eastAsia"/>
          <w:sz w:val="24"/>
          <w:lang w:val="en-US" w:eastAsia="zh-CN"/>
        </w:rPr>
        <w:t>6.0</w:t>
      </w:r>
      <w:r>
        <w:rPr>
          <w:rFonts w:hint="eastAsia"/>
          <w:sz w:val="24"/>
        </w:rPr>
        <w:t>0m起算，</w:t>
      </w:r>
      <w:r>
        <w:rPr>
          <w:sz w:val="24"/>
        </w:rPr>
        <w:t>桩长</w:t>
      </w:r>
      <w:r>
        <w:rPr>
          <w:rFonts w:hint="eastAsia"/>
          <w:sz w:val="24"/>
        </w:rPr>
        <w:t>约</w:t>
      </w:r>
      <w:r>
        <w:rPr>
          <w:rFonts w:hint="eastAsia"/>
          <w:sz w:val="24"/>
          <w:lang w:val="en-US" w:eastAsia="zh-CN"/>
        </w:rPr>
        <w:t>7</w:t>
      </w:r>
      <w:r>
        <w:rPr>
          <w:rFonts w:hint="eastAsia"/>
          <w:sz w:val="24"/>
        </w:rPr>
        <w:t>.0m，桩的计算参数见表7。</w:t>
      </w:r>
    </w:p>
    <w:p>
      <w:pPr>
        <w:spacing w:line="360" w:lineRule="auto"/>
        <w:ind w:firstLine="480" w:firstLineChars="200"/>
        <w:rPr>
          <w:sz w:val="24"/>
        </w:rPr>
      </w:pPr>
      <w:r>
        <w:rPr>
          <w:sz w:val="24"/>
        </w:rPr>
        <w:t>估算单桩竖向承载力</w:t>
      </w:r>
      <w:r>
        <w:rPr>
          <w:rFonts w:hint="eastAsia"/>
          <w:sz w:val="24"/>
        </w:rPr>
        <w:t>特征值</w:t>
      </w:r>
      <w:r>
        <w:rPr>
          <w:sz w:val="24"/>
        </w:rPr>
        <w:t>：</w:t>
      </w:r>
    </w:p>
    <w:p>
      <w:pPr>
        <w:spacing w:line="360" w:lineRule="auto"/>
        <w:ind w:firstLine="480" w:firstLineChars="200"/>
        <w:rPr>
          <w:rFonts w:hint="eastAsia" w:eastAsia="宋体"/>
          <w:sz w:val="24"/>
          <w:highlight w:val="yellow"/>
          <w:lang w:eastAsia="zh-CN"/>
        </w:rPr>
      </w:pPr>
      <w:r>
        <w:rPr>
          <w:rFonts w:hint="eastAsia"/>
          <w:sz w:val="24"/>
        </w:rPr>
        <w:t>桩径若选用D=</w:t>
      </w:r>
      <w:r>
        <w:rPr>
          <w:rFonts w:hint="eastAsia"/>
          <w:sz w:val="24"/>
          <w:lang w:val="en-US" w:eastAsia="zh-CN"/>
        </w:rPr>
        <w:t>350</w:t>
      </w:r>
      <w:r>
        <w:rPr>
          <w:rFonts w:hint="eastAsia"/>
          <w:sz w:val="24"/>
        </w:rPr>
        <w:t>mm，桩端以第</w:t>
      </w:r>
      <w:r>
        <w:rPr>
          <w:rFonts w:hint="eastAsia"/>
          <w:sz w:val="24"/>
          <w:lang w:eastAsia="zh-CN"/>
        </w:rPr>
        <w:t>⑥</w:t>
      </w:r>
      <w:r>
        <w:rPr>
          <w:rFonts w:hint="eastAsia"/>
          <w:sz w:val="24"/>
        </w:rPr>
        <w:t>层</w:t>
      </w:r>
      <w:r>
        <w:rPr>
          <w:rFonts w:hint="eastAsia"/>
          <w:sz w:val="24"/>
          <w:lang w:eastAsia="zh-CN"/>
        </w:rPr>
        <w:t>强风化砂质泥岩</w:t>
      </w:r>
      <w:r>
        <w:rPr>
          <w:rFonts w:hint="eastAsia"/>
          <w:sz w:val="24"/>
        </w:rPr>
        <w:t>为持力层，估算单桩竖向极限承载力标准值为Q</w:t>
      </w:r>
      <w:r>
        <w:rPr>
          <w:rFonts w:hint="eastAsia"/>
          <w:sz w:val="24"/>
          <w:vertAlign w:val="subscript"/>
        </w:rPr>
        <w:t>uk</w:t>
      </w:r>
      <w:r>
        <w:rPr>
          <w:rFonts w:hint="eastAsia"/>
          <w:sz w:val="24"/>
        </w:rPr>
        <w:t>=</w:t>
      </w:r>
      <w:r>
        <w:rPr>
          <w:rFonts w:hint="eastAsia"/>
          <w:sz w:val="24"/>
          <w:lang w:val="en-US" w:eastAsia="zh-CN"/>
        </w:rPr>
        <w:t>28</w:t>
      </w:r>
      <w:r>
        <w:rPr>
          <w:rFonts w:hint="eastAsia"/>
          <w:sz w:val="24"/>
        </w:rPr>
        <w:t>00kN，单桩竖向承载力特征值为</w:t>
      </w:r>
      <w:r>
        <w:rPr>
          <w:sz w:val="24"/>
        </w:rPr>
        <w:t>Ra＝</w:t>
      </w:r>
      <m:oMath>
        <m:f>
          <m:fPr>
            <m:ctrlPr>
              <w:rPr>
                <w:rFonts w:ascii="Cambria Math" w:hAnsi="Cambria Math"/>
                <w:sz w:val="24"/>
              </w:rPr>
            </m:ctrlPr>
          </m:fPr>
          <m:num>
            <m:r>
              <w:rPr>
                <w:rFonts w:ascii="Cambria Math" w:hAnsi="Cambria Math"/>
                <w:sz w:val="24"/>
              </w:rPr>
              <m:t>1</m:t>
            </m:r>
            <m:ctrlPr>
              <w:rPr>
                <w:rFonts w:ascii="Cambria Math" w:hAnsi="Cambria Math"/>
                <w:sz w:val="24"/>
              </w:rPr>
            </m:ctrlPr>
          </m:num>
          <m:den>
            <m:r>
              <w:rPr>
                <w:rFonts w:ascii="Cambria Math" w:hAnsi="Cambria Math"/>
                <w:sz w:val="24"/>
              </w:rPr>
              <m:t>K</m:t>
            </m:r>
            <m:ctrlPr>
              <w:rPr>
                <w:rFonts w:ascii="Cambria Math" w:hAnsi="Cambria Math"/>
                <w:sz w:val="24"/>
              </w:rPr>
            </m:ctrlPr>
          </m:den>
        </m:f>
      </m:oMath>
      <w:r>
        <w:rPr>
          <w:rFonts w:hint="eastAsia"/>
          <w:sz w:val="24"/>
        </w:rPr>
        <w:t>Q</w:t>
      </w:r>
      <w:r>
        <w:rPr>
          <w:rFonts w:hint="eastAsia"/>
          <w:sz w:val="24"/>
          <w:vertAlign w:val="subscript"/>
        </w:rPr>
        <w:t>uk</w:t>
      </w:r>
      <w:r>
        <w:rPr>
          <w:rFonts w:hint="eastAsia" w:ascii="宋体" w:hAnsi="宋体"/>
          <w:sz w:val="24"/>
        </w:rPr>
        <w:t xml:space="preserve"> ,</w:t>
      </w:r>
      <w:r>
        <w:rPr>
          <w:rFonts w:hint="eastAsia" w:ascii="Cambria Math" w:hAnsi="Cambria Math"/>
          <w:i/>
          <w:sz w:val="24"/>
        </w:rPr>
        <w:t>K</w:t>
      </w:r>
      <w:r>
        <w:rPr>
          <w:rFonts w:hint="eastAsia" w:ascii="宋体" w:hAnsi="宋体"/>
          <w:sz w:val="24"/>
        </w:rPr>
        <w:t>=2,故</w:t>
      </w:r>
      <w:r>
        <w:rPr>
          <w:rFonts w:hint="eastAsia"/>
          <w:sz w:val="24"/>
        </w:rPr>
        <w:t xml:space="preserve"> Ra＝</w:t>
      </w:r>
      <w:r>
        <w:rPr>
          <w:rFonts w:hint="eastAsia"/>
          <w:sz w:val="24"/>
          <w:lang w:val="en-US" w:eastAsia="zh-CN"/>
        </w:rPr>
        <w:t>1400</w:t>
      </w:r>
      <w:r>
        <w:rPr>
          <w:rFonts w:hint="eastAsia"/>
          <w:sz w:val="24"/>
        </w:rPr>
        <w:t>kN。</w:t>
      </w:r>
    </w:p>
    <w:p>
      <w:pPr>
        <w:spacing w:line="360" w:lineRule="auto"/>
        <w:ind w:firstLine="482" w:firstLineChars="200"/>
        <w:rPr>
          <w:rFonts w:hint="eastAsia"/>
          <w:b/>
          <w:bCs/>
          <w:sz w:val="24"/>
        </w:rPr>
      </w:pPr>
      <w:r>
        <w:rPr>
          <w:rFonts w:hint="eastAsia"/>
          <w:b/>
          <w:bCs/>
          <w:sz w:val="24"/>
          <w:lang w:eastAsia="zh-CN"/>
        </w:rPr>
        <w:t>③</w:t>
      </w:r>
      <w:r>
        <w:rPr>
          <w:rFonts w:hint="eastAsia"/>
          <w:b/>
          <w:bCs/>
          <w:sz w:val="24"/>
        </w:rPr>
        <w:t>长螺旋钻孔压灌桩</w:t>
      </w:r>
    </w:p>
    <w:p>
      <w:pPr>
        <w:spacing w:line="360" w:lineRule="auto"/>
        <w:ind w:firstLine="480" w:firstLineChars="200"/>
        <w:rPr>
          <w:sz w:val="24"/>
        </w:rPr>
      </w:pPr>
      <w:r>
        <w:rPr>
          <w:rFonts w:hint="eastAsia"/>
          <w:sz w:val="24"/>
        </w:rPr>
        <w:t>桩端持力层为第</w:t>
      </w:r>
      <w:r>
        <w:rPr>
          <w:rFonts w:hint="eastAsia"/>
          <w:sz w:val="24"/>
          <w:lang w:eastAsia="zh-CN"/>
        </w:rPr>
        <w:t>⑦</w:t>
      </w:r>
      <w:r>
        <w:rPr>
          <w:rFonts w:hint="eastAsia"/>
          <w:sz w:val="24"/>
        </w:rPr>
        <w:t>层</w:t>
      </w:r>
      <w:r>
        <w:rPr>
          <w:rFonts w:hint="eastAsia"/>
          <w:sz w:val="24"/>
          <w:lang w:eastAsia="zh-CN"/>
        </w:rPr>
        <w:t>中风化砂质泥岩</w:t>
      </w:r>
      <w:r>
        <w:rPr>
          <w:rFonts w:hint="eastAsia"/>
          <w:sz w:val="24"/>
        </w:rPr>
        <w:t>，具体桩长请设计人员根据建筑荷载参照工程地质剖面图确定，以实际试桩桩长为准。下面以Z</w:t>
      </w:r>
      <w:r>
        <w:rPr>
          <w:rFonts w:hint="eastAsia"/>
          <w:sz w:val="24"/>
          <w:lang w:val="en-US" w:eastAsia="zh-CN"/>
        </w:rPr>
        <w:t>200</w:t>
      </w:r>
      <w:r>
        <w:rPr>
          <w:rFonts w:hint="eastAsia"/>
          <w:sz w:val="24"/>
        </w:rPr>
        <w:t>孔为例，估算单桩竖向承载力特征值。</w:t>
      </w:r>
      <w:r>
        <w:rPr>
          <w:sz w:val="24"/>
        </w:rPr>
        <w:t>桩端进入</w:t>
      </w:r>
      <w:r>
        <w:rPr>
          <w:rFonts w:hint="eastAsia"/>
          <w:sz w:val="24"/>
          <w:lang w:eastAsia="zh-CN"/>
        </w:rPr>
        <w:t>持力层</w:t>
      </w:r>
      <w:r>
        <w:rPr>
          <w:rFonts w:hint="eastAsia"/>
          <w:sz w:val="24"/>
          <w:lang w:val="en-US" w:eastAsia="zh-CN"/>
        </w:rPr>
        <w:t>6.0</w:t>
      </w:r>
      <w:r>
        <w:rPr>
          <w:sz w:val="24"/>
        </w:rPr>
        <w:t>m，桩长从正负零下</w:t>
      </w:r>
      <w:r>
        <w:rPr>
          <w:rFonts w:hint="eastAsia"/>
          <w:sz w:val="24"/>
          <w:lang w:val="en-US" w:eastAsia="zh-CN"/>
        </w:rPr>
        <w:t>6.0</w:t>
      </w:r>
      <w:r>
        <w:rPr>
          <w:rFonts w:hint="eastAsia"/>
          <w:sz w:val="24"/>
        </w:rPr>
        <w:t>0m起算，</w:t>
      </w:r>
      <w:r>
        <w:rPr>
          <w:sz w:val="24"/>
        </w:rPr>
        <w:t>桩长</w:t>
      </w:r>
      <w:r>
        <w:rPr>
          <w:rFonts w:hint="eastAsia"/>
          <w:sz w:val="24"/>
        </w:rPr>
        <w:t>约</w:t>
      </w:r>
      <w:r>
        <w:rPr>
          <w:rFonts w:hint="eastAsia"/>
          <w:sz w:val="24"/>
          <w:lang w:val="en-US" w:eastAsia="zh-CN"/>
        </w:rPr>
        <w:t>17.5</w:t>
      </w:r>
      <w:r>
        <w:rPr>
          <w:rFonts w:hint="eastAsia"/>
          <w:sz w:val="24"/>
        </w:rPr>
        <w:t>m，桩的计算参数见表7。</w:t>
      </w:r>
    </w:p>
    <w:p>
      <w:pPr>
        <w:spacing w:line="360" w:lineRule="auto"/>
        <w:ind w:firstLine="480" w:firstLineChars="200"/>
        <w:rPr>
          <w:sz w:val="24"/>
        </w:rPr>
      </w:pPr>
      <w:r>
        <w:rPr>
          <w:sz w:val="24"/>
        </w:rPr>
        <w:t>估算单桩竖向承载力</w:t>
      </w:r>
      <w:r>
        <w:rPr>
          <w:rFonts w:hint="eastAsia"/>
          <w:sz w:val="24"/>
        </w:rPr>
        <w:t>特征值</w:t>
      </w:r>
      <w:r>
        <w:rPr>
          <w:sz w:val="24"/>
        </w:rPr>
        <w:t>：</w:t>
      </w:r>
    </w:p>
    <w:p>
      <w:pPr>
        <w:spacing w:line="360" w:lineRule="auto"/>
        <w:ind w:firstLine="480" w:firstLineChars="200"/>
        <w:rPr>
          <w:rFonts w:hint="eastAsia" w:eastAsia="宋体"/>
          <w:sz w:val="24"/>
          <w:highlight w:val="yellow"/>
          <w:lang w:eastAsia="zh-CN"/>
        </w:rPr>
      </w:pPr>
      <w:r>
        <w:rPr>
          <w:rFonts w:hint="eastAsia"/>
          <w:sz w:val="24"/>
        </w:rPr>
        <w:t>桩径若选用D=</w:t>
      </w:r>
      <w:r>
        <w:rPr>
          <w:rFonts w:hint="eastAsia"/>
          <w:sz w:val="24"/>
          <w:lang w:val="en-US" w:eastAsia="zh-CN"/>
        </w:rPr>
        <w:t>5</w:t>
      </w:r>
      <w:r>
        <w:rPr>
          <w:rFonts w:hint="eastAsia"/>
          <w:sz w:val="24"/>
        </w:rPr>
        <w:t>00mm，桩端以第</w:t>
      </w:r>
      <w:r>
        <w:rPr>
          <w:rFonts w:hint="eastAsia"/>
          <w:sz w:val="24"/>
          <w:lang w:eastAsia="zh-CN"/>
        </w:rPr>
        <w:t>⑦</w:t>
      </w:r>
      <w:r>
        <w:rPr>
          <w:rFonts w:hint="eastAsia"/>
          <w:sz w:val="24"/>
        </w:rPr>
        <w:t>层</w:t>
      </w:r>
      <w:r>
        <w:rPr>
          <w:rFonts w:hint="eastAsia"/>
          <w:sz w:val="24"/>
          <w:lang w:eastAsia="zh-CN"/>
        </w:rPr>
        <w:t>中风化砂质泥岩</w:t>
      </w:r>
      <w:r>
        <w:rPr>
          <w:rFonts w:hint="eastAsia"/>
          <w:sz w:val="24"/>
        </w:rPr>
        <w:t>为持力层，估算单桩竖向极限承载力标准值为Q</w:t>
      </w:r>
      <w:r>
        <w:rPr>
          <w:rFonts w:hint="eastAsia"/>
          <w:sz w:val="24"/>
          <w:vertAlign w:val="subscript"/>
        </w:rPr>
        <w:t>uk</w:t>
      </w:r>
      <w:r>
        <w:rPr>
          <w:rFonts w:hint="eastAsia"/>
          <w:sz w:val="24"/>
        </w:rPr>
        <w:t>=</w:t>
      </w:r>
      <w:r>
        <w:rPr>
          <w:rFonts w:hint="eastAsia"/>
          <w:sz w:val="24"/>
          <w:lang w:val="en-US" w:eastAsia="zh-CN"/>
        </w:rPr>
        <w:t>3800</w:t>
      </w:r>
      <w:r>
        <w:rPr>
          <w:rFonts w:hint="eastAsia"/>
          <w:sz w:val="24"/>
        </w:rPr>
        <w:t>kN，单桩竖向承载力特征值为</w:t>
      </w:r>
      <w:r>
        <w:rPr>
          <w:sz w:val="24"/>
        </w:rPr>
        <w:t>Ra＝</w:t>
      </w:r>
      <m:oMath>
        <m:f>
          <m:fPr>
            <m:ctrlPr>
              <w:rPr>
                <w:rFonts w:ascii="Cambria Math" w:hAnsi="Cambria Math"/>
                <w:sz w:val="24"/>
              </w:rPr>
            </m:ctrlPr>
          </m:fPr>
          <m:num>
            <m:r>
              <w:rPr>
                <w:rFonts w:ascii="Cambria Math" w:hAnsi="Cambria Math"/>
                <w:sz w:val="24"/>
              </w:rPr>
              <m:t>1</m:t>
            </m:r>
            <m:ctrlPr>
              <w:rPr>
                <w:rFonts w:ascii="Cambria Math" w:hAnsi="Cambria Math"/>
                <w:sz w:val="24"/>
              </w:rPr>
            </m:ctrlPr>
          </m:num>
          <m:den>
            <m:r>
              <w:rPr>
                <w:rFonts w:ascii="Cambria Math" w:hAnsi="Cambria Math"/>
                <w:sz w:val="24"/>
              </w:rPr>
              <m:t>K</m:t>
            </m:r>
            <m:ctrlPr>
              <w:rPr>
                <w:rFonts w:ascii="Cambria Math" w:hAnsi="Cambria Math"/>
                <w:sz w:val="24"/>
              </w:rPr>
            </m:ctrlPr>
          </m:den>
        </m:f>
      </m:oMath>
      <w:r>
        <w:rPr>
          <w:rFonts w:hint="eastAsia"/>
          <w:sz w:val="24"/>
        </w:rPr>
        <w:t>Q</w:t>
      </w:r>
      <w:r>
        <w:rPr>
          <w:rFonts w:hint="eastAsia"/>
          <w:sz w:val="24"/>
          <w:vertAlign w:val="subscript"/>
        </w:rPr>
        <w:t>uk</w:t>
      </w:r>
      <w:r>
        <w:rPr>
          <w:rFonts w:hint="eastAsia" w:ascii="宋体" w:hAnsi="宋体"/>
          <w:sz w:val="24"/>
        </w:rPr>
        <w:t xml:space="preserve"> ,</w:t>
      </w:r>
      <w:r>
        <w:rPr>
          <w:rFonts w:hint="eastAsia" w:ascii="Cambria Math" w:hAnsi="Cambria Math"/>
          <w:i/>
          <w:sz w:val="24"/>
        </w:rPr>
        <w:t>K</w:t>
      </w:r>
      <w:r>
        <w:rPr>
          <w:rFonts w:hint="eastAsia" w:ascii="宋体" w:hAnsi="宋体"/>
          <w:sz w:val="24"/>
        </w:rPr>
        <w:t>=2,故</w:t>
      </w:r>
      <w:r>
        <w:rPr>
          <w:rFonts w:hint="eastAsia"/>
          <w:sz w:val="24"/>
        </w:rPr>
        <w:t xml:space="preserve"> Ra＝</w:t>
      </w:r>
      <w:r>
        <w:rPr>
          <w:rFonts w:hint="eastAsia"/>
          <w:sz w:val="24"/>
          <w:lang w:val="en-US" w:eastAsia="zh-CN"/>
        </w:rPr>
        <w:t>2000</w:t>
      </w:r>
      <w:r>
        <w:rPr>
          <w:rFonts w:hint="eastAsia"/>
          <w:sz w:val="24"/>
        </w:rPr>
        <w:t>kN。</w:t>
      </w:r>
    </w:p>
    <w:p>
      <w:pPr>
        <w:spacing w:line="360" w:lineRule="auto"/>
        <w:rPr>
          <w:rFonts w:hint="eastAsia"/>
          <w:sz w:val="24"/>
          <w:highlight w:val="yellow"/>
          <w:lang w:eastAsia="zh-CN"/>
        </w:rPr>
      </w:pPr>
      <w:r>
        <w:rPr>
          <w:rFonts w:hint="eastAsia"/>
          <w:sz w:val="24"/>
        </w:rPr>
        <w:t>桩径若选用D=</w:t>
      </w:r>
      <w:r>
        <w:rPr>
          <w:rFonts w:hint="eastAsia"/>
          <w:sz w:val="24"/>
          <w:lang w:val="en-US" w:eastAsia="zh-CN"/>
        </w:rPr>
        <w:t>6</w:t>
      </w:r>
      <w:r>
        <w:rPr>
          <w:rFonts w:hint="eastAsia"/>
          <w:sz w:val="24"/>
        </w:rPr>
        <w:t>00mm，桩端以第</w:t>
      </w:r>
      <w:r>
        <w:rPr>
          <w:rFonts w:hint="eastAsia"/>
          <w:sz w:val="24"/>
          <w:lang w:eastAsia="zh-CN"/>
        </w:rPr>
        <w:t>⑦</w:t>
      </w:r>
      <w:r>
        <w:rPr>
          <w:rFonts w:hint="eastAsia"/>
          <w:sz w:val="24"/>
        </w:rPr>
        <w:t>层</w:t>
      </w:r>
      <w:r>
        <w:rPr>
          <w:rFonts w:hint="eastAsia"/>
          <w:sz w:val="24"/>
          <w:lang w:eastAsia="zh-CN"/>
        </w:rPr>
        <w:t>中风化砂质泥岩</w:t>
      </w:r>
      <w:r>
        <w:rPr>
          <w:rFonts w:hint="eastAsia"/>
          <w:sz w:val="24"/>
        </w:rPr>
        <w:t>为持力层，估算单桩竖向极限承载力标准值为Q</w:t>
      </w:r>
      <w:r>
        <w:rPr>
          <w:rFonts w:hint="eastAsia"/>
          <w:sz w:val="24"/>
          <w:vertAlign w:val="subscript"/>
        </w:rPr>
        <w:t>uk</w:t>
      </w:r>
      <w:r>
        <w:rPr>
          <w:rFonts w:hint="eastAsia"/>
          <w:sz w:val="24"/>
        </w:rPr>
        <w:t>=</w:t>
      </w:r>
      <w:r>
        <w:rPr>
          <w:rFonts w:hint="eastAsia"/>
          <w:sz w:val="24"/>
          <w:lang w:val="en-US" w:eastAsia="zh-CN"/>
        </w:rPr>
        <w:t>4600</w:t>
      </w:r>
      <w:r>
        <w:rPr>
          <w:rFonts w:hint="eastAsia"/>
          <w:sz w:val="24"/>
        </w:rPr>
        <w:t>kN，单桩竖向承载力特征值为</w:t>
      </w:r>
      <w:r>
        <w:rPr>
          <w:sz w:val="24"/>
        </w:rPr>
        <w:t>Ra＝</w:t>
      </w:r>
      <m:oMath>
        <m:f>
          <m:fPr>
            <m:ctrlPr>
              <w:rPr>
                <w:rFonts w:ascii="Cambria Math" w:hAnsi="Cambria Math"/>
                <w:sz w:val="24"/>
              </w:rPr>
            </m:ctrlPr>
          </m:fPr>
          <m:num>
            <m:r>
              <w:rPr>
                <w:rFonts w:ascii="Cambria Math" w:hAnsi="Cambria Math"/>
                <w:sz w:val="24"/>
              </w:rPr>
              <m:t>1</m:t>
            </m:r>
            <m:ctrlPr>
              <w:rPr>
                <w:rFonts w:ascii="Cambria Math" w:hAnsi="Cambria Math"/>
                <w:sz w:val="24"/>
              </w:rPr>
            </m:ctrlPr>
          </m:num>
          <m:den>
            <m:r>
              <w:rPr>
                <w:rFonts w:ascii="Cambria Math" w:hAnsi="Cambria Math"/>
                <w:sz w:val="24"/>
              </w:rPr>
              <m:t>K</m:t>
            </m:r>
            <m:ctrlPr>
              <w:rPr>
                <w:rFonts w:ascii="Cambria Math" w:hAnsi="Cambria Math"/>
                <w:sz w:val="24"/>
              </w:rPr>
            </m:ctrlPr>
          </m:den>
        </m:f>
      </m:oMath>
      <w:r>
        <w:rPr>
          <w:rFonts w:hint="eastAsia"/>
          <w:sz w:val="24"/>
        </w:rPr>
        <w:t>Q</w:t>
      </w:r>
      <w:r>
        <w:rPr>
          <w:rFonts w:hint="eastAsia"/>
          <w:sz w:val="24"/>
          <w:vertAlign w:val="subscript"/>
        </w:rPr>
        <w:t>uk</w:t>
      </w:r>
      <w:r>
        <w:rPr>
          <w:rFonts w:hint="eastAsia" w:ascii="宋体" w:hAnsi="宋体"/>
          <w:sz w:val="24"/>
        </w:rPr>
        <w:t xml:space="preserve"> ,</w:t>
      </w:r>
      <w:r>
        <w:rPr>
          <w:rFonts w:hint="eastAsia" w:ascii="Cambria Math" w:hAnsi="Cambria Math"/>
          <w:i/>
          <w:sz w:val="24"/>
        </w:rPr>
        <w:t>K</w:t>
      </w:r>
      <w:r>
        <w:rPr>
          <w:rFonts w:hint="eastAsia" w:ascii="宋体" w:hAnsi="宋体"/>
          <w:sz w:val="24"/>
        </w:rPr>
        <w:t>=2,故</w:t>
      </w:r>
      <w:r>
        <w:rPr>
          <w:rFonts w:hint="eastAsia"/>
          <w:sz w:val="24"/>
        </w:rPr>
        <w:t xml:space="preserve"> Ra＝</w:t>
      </w:r>
      <w:r>
        <w:rPr>
          <w:rFonts w:hint="eastAsia"/>
          <w:sz w:val="24"/>
          <w:lang w:val="en-US" w:eastAsia="zh-CN"/>
        </w:rPr>
        <w:t>2700</w:t>
      </w:r>
      <w:r>
        <w:rPr>
          <w:rFonts w:hint="eastAsia"/>
          <w:sz w:val="24"/>
        </w:rPr>
        <w:t>kN。</w:t>
      </w:r>
    </w:p>
    <w:p>
      <w:pPr>
        <w:spacing w:line="360" w:lineRule="auto"/>
        <w:rPr>
          <w:rFonts w:hint="eastAsia" w:cs="Times New Roman"/>
          <w:b/>
          <w:bCs/>
          <w:sz w:val="24"/>
          <w:lang w:val="en-US" w:eastAsia="zh-CN"/>
        </w:rPr>
      </w:pPr>
      <w:r>
        <w:rPr>
          <w:rStyle w:val="31"/>
          <w:rFonts w:hint="eastAsia" w:ascii="Times New Roman" w:hAnsi="Times New Roman" w:cs="Times New Roman"/>
          <w:b/>
          <w:bCs/>
          <w:sz w:val="24"/>
          <w:lang w:val="en-US"/>
        </w:rPr>
        <w:t>4.4.4.</w:t>
      </w:r>
      <w:r>
        <w:rPr>
          <w:rStyle w:val="31"/>
          <w:rFonts w:hint="eastAsia" w:cs="Times New Roman"/>
          <w:b/>
          <w:bCs/>
          <w:sz w:val="24"/>
          <w:lang w:val="en-US"/>
        </w:rPr>
        <w:t>3</w:t>
      </w:r>
      <w:r>
        <w:rPr>
          <w:rFonts w:hint="eastAsia" w:ascii="Times New Roman" w:hAnsi="Times New Roman" w:cs="Times New Roman"/>
          <w:b/>
          <w:bCs/>
          <w:sz w:val="24"/>
          <w:lang w:val="en-US" w:eastAsia="zh-CN"/>
        </w:rPr>
        <w:t>拟建</w:t>
      </w:r>
      <w:r>
        <w:rPr>
          <w:rFonts w:hint="eastAsia" w:cs="Times New Roman"/>
          <w:b/>
          <w:bCs/>
          <w:sz w:val="24"/>
          <w:lang w:val="en-US" w:eastAsia="zh-CN"/>
        </w:rPr>
        <w:t>DK1、DK2纯地下室</w:t>
      </w:r>
    </w:p>
    <w:p>
      <w:pPr>
        <w:spacing w:line="360" w:lineRule="auto"/>
        <w:ind w:firstLine="480" w:firstLineChars="200"/>
        <w:rPr>
          <w:rFonts w:hint="eastAsia"/>
          <w:sz w:val="24"/>
        </w:rPr>
      </w:pPr>
      <w:r>
        <w:rPr>
          <w:rFonts w:hint="eastAsia"/>
          <w:sz w:val="24"/>
        </w:rPr>
        <w:t>长螺旋钻孔压灌桩</w:t>
      </w:r>
    </w:p>
    <w:p>
      <w:pPr>
        <w:spacing w:line="360" w:lineRule="auto"/>
        <w:ind w:firstLine="480" w:firstLineChars="200"/>
        <w:rPr>
          <w:sz w:val="24"/>
        </w:rPr>
      </w:pPr>
      <w:r>
        <w:rPr>
          <w:rFonts w:hint="eastAsia"/>
          <w:sz w:val="24"/>
          <w:lang w:eastAsia="zh-CN"/>
        </w:rPr>
        <w:t>根据桩的使用功能，以及桩的承载要求，请设计人员根据所提供的有关</w:t>
      </w:r>
      <w:r>
        <w:rPr>
          <w:rFonts w:hint="eastAsia"/>
          <w:sz w:val="24"/>
        </w:rPr>
        <w:t>长螺旋钻孔压灌桩</w:t>
      </w:r>
      <w:r>
        <w:rPr>
          <w:rFonts w:hint="eastAsia"/>
          <w:sz w:val="24"/>
          <w:lang w:eastAsia="zh-CN"/>
        </w:rPr>
        <w:t>的参数进行计算</w:t>
      </w:r>
      <w:r>
        <w:rPr>
          <w:rFonts w:hint="eastAsia"/>
          <w:sz w:val="24"/>
        </w:rPr>
        <w:t>。</w:t>
      </w:r>
      <w:r>
        <w:rPr>
          <w:rFonts w:hint="eastAsia"/>
          <w:sz w:val="24"/>
          <w:lang w:eastAsia="zh-CN"/>
        </w:rPr>
        <w:t>若作为抗拔桩使用，按规范要求进行抗拔计算。</w:t>
      </w:r>
      <w:r>
        <w:rPr>
          <w:rFonts w:hint="eastAsia"/>
          <w:sz w:val="24"/>
        </w:rPr>
        <w:t>桩的</w:t>
      </w:r>
      <w:r>
        <w:rPr>
          <w:rFonts w:hint="eastAsia"/>
          <w:sz w:val="24"/>
          <w:lang w:eastAsia="zh-CN"/>
        </w:rPr>
        <w:t>抗拔</w:t>
      </w:r>
      <w:r>
        <w:rPr>
          <w:rFonts w:hint="eastAsia"/>
          <w:sz w:val="24"/>
        </w:rPr>
        <w:t>参数见表</w:t>
      </w:r>
      <w:r>
        <w:rPr>
          <w:rFonts w:hint="eastAsia"/>
          <w:sz w:val="24"/>
          <w:lang w:val="en-US" w:eastAsia="zh-CN"/>
        </w:rPr>
        <w:t>8</w:t>
      </w:r>
      <w:r>
        <w:rPr>
          <w:rFonts w:hint="eastAsia"/>
          <w:sz w:val="24"/>
        </w:rPr>
        <w:t>。</w:t>
      </w:r>
    </w:p>
    <w:p>
      <w:pPr>
        <w:spacing w:line="360" w:lineRule="auto"/>
        <w:rPr>
          <w:rStyle w:val="31"/>
          <w:rFonts w:ascii="Times New Roman" w:cs="Times New Roman"/>
          <w:bCs/>
          <w:sz w:val="24"/>
        </w:rPr>
      </w:pPr>
      <w:r>
        <w:rPr>
          <w:rStyle w:val="31"/>
          <w:rFonts w:hint="eastAsia" w:ascii="Times New Roman" w:cs="Times New Roman"/>
          <w:bCs/>
          <w:sz w:val="24"/>
        </w:rPr>
        <w:t>4.4.5.</w:t>
      </w:r>
      <w:r>
        <w:rPr>
          <w:rStyle w:val="31"/>
          <w:rFonts w:hint="eastAsia" w:ascii="Times New Roman" w:cs="Times New Roman"/>
          <w:b w:val="0"/>
          <w:bCs/>
          <w:sz w:val="24"/>
        </w:rPr>
        <w:t>单桩竖向承载力特征值最终应</w:t>
      </w:r>
      <w:r>
        <w:rPr>
          <w:rStyle w:val="31"/>
          <w:rFonts w:ascii="Times New Roman" w:cs="Times New Roman"/>
          <w:b w:val="0"/>
          <w:bCs/>
          <w:sz w:val="24"/>
        </w:rPr>
        <w:t>由现场静载荷试验确定。</w:t>
      </w:r>
    </w:p>
    <w:p>
      <w:pPr>
        <w:pStyle w:val="69"/>
        <w:spacing w:line="480" w:lineRule="exact"/>
        <w:rPr>
          <w:rStyle w:val="31"/>
          <w:rFonts w:ascii="Times New Roman" w:cs="Times New Roman"/>
          <w:bCs/>
          <w:sz w:val="24"/>
        </w:rPr>
      </w:pPr>
      <w:r>
        <w:rPr>
          <w:rStyle w:val="31"/>
          <w:rFonts w:hint="eastAsia" w:ascii="Times New Roman" w:cs="Times New Roman"/>
          <w:bCs/>
          <w:sz w:val="24"/>
        </w:rPr>
        <w:t>4.4.6.</w:t>
      </w:r>
      <w:r>
        <w:rPr>
          <w:rFonts w:hint="eastAsia"/>
          <w:sz w:val="24"/>
        </w:rPr>
        <w:t>长</w:t>
      </w:r>
      <w:r>
        <w:rPr>
          <w:rFonts w:hint="default" w:ascii="Times New Roman" w:hAnsi="Times New Roman" w:cs="Times New Roman"/>
          <w:sz w:val="24"/>
        </w:rPr>
        <w:t>螺旋钻孔压灌桩</w:t>
      </w:r>
      <w:r>
        <w:rPr>
          <w:rFonts w:hint="default" w:ascii="Times New Roman" w:hAnsi="Times New Roman" w:cs="Times New Roman"/>
          <w:sz w:val="24"/>
          <w:lang w:eastAsia="zh-CN"/>
        </w:rPr>
        <w:t>、</w:t>
      </w:r>
      <w:r>
        <w:rPr>
          <w:rFonts w:hint="default" w:ascii="Times New Roman" w:hAnsi="Times New Roman" w:cs="Times New Roman"/>
          <w:sz w:val="24"/>
        </w:rPr>
        <w:t>预应力</w:t>
      </w:r>
      <w:r>
        <w:rPr>
          <w:rFonts w:hint="default" w:ascii="Times New Roman" w:hAnsi="Times New Roman" w:cs="Times New Roman"/>
          <w:sz w:val="24"/>
          <w:lang w:eastAsia="zh-CN"/>
        </w:rPr>
        <w:t>混凝土</w:t>
      </w:r>
      <w:r>
        <w:rPr>
          <w:rFonts w:hint="default" w:ascii="Times New Roman" w:hAnsi="Times New Roman" w:cs="Times New Roman"/>
          <w:sz w:val="24"/>
        </w:rPr>
        <w:t>管桩（PHC）</w:t>
      </w:r>
      <w:r>
        <w:rPr>
          <w:rFonts w:hint="default" w:ascii="Times New Roman" w:hAnsi="Times New Roman" w:cs="Times New Roman"/>
          <w:sz w:val="24"/>
          <w:lang w:eastAsia="zh-CN"/>
        </w:rPr>
        <w:t>、</w:t>
      </w:r>
      <w:r>
        <w:rPr>
          <w:rFonts w:hint="default" w:ascii="Times New Roman" w:hAnsi="Times New Roman" w:cs="Times New Roman"/>
          <w:sz w:val="24"/>
        </w:rPr>
        <w:t>预应力</w:t>
      </w:r>
      <w:r>
        <w:rPr>
          <w:rFonts w:hint="default" w:ascii="Times New Roman" w:hAnsi="Times New Roman" w:cs="Times New Roman"/>
          <w:sz w:val="24"/>
          <w:lang w:eastAsia="zh-CN"/>
        </w:rPr>
        <w:t>混凝土方</w:t>
      </w:r>
      <w:r>
        <w:rPr>
          <w:rFonts w:hint="default" w:ascii="Times New Roman" w:hAnsi="Times New Roman" w:cs="Times New Roman"/>
          <w:sz w:val="24"/>
        </w:rPr>
        <w:t>桩（PH</w:t>
      </w:r>
      <w:r>
        <w:rPr>
          <w:rFonts w:hint="default" w:ascii="Times New Roman" w:hAnsi="Times New Roman" w:cs="Times New Roman"/>
          <w:sz w:val="24"/>
          <w:lang w:val="en-US" w:eastAsia="zh-CN"/>
        </w:rPr>
        <w:t>S</w:t>
      </w:r>
      <w:r>
        <w:rPr>
          <w:rFonts w:hint="eastAsia"/>
          <w:sz w:val="24"/>
        </w:rPr>
        <w:t>）</w:t>
      </w:r>
      <w:r>
        <w:rPr>
          <w:rStyle w:val="31"/>
          <w:rFonts w:hint="default" w:ascii="Times New Roman" w:hAnsi="Times New Roman" w:cs="Times New Roman"/>
          <w:b w:val="0"/>
          <w:bCs/>
          <w:sz w:val="24"/>
        </w:rPr>
        <w:t>的设</w:t>
      </w:r>
      <w:r>
        <w:rPr>
          <w:rStyle w:val="31"/>
          <w:rFonts w:hint="eastAsia" w:ascii="Times New Roman" w:cs="Times New Roman"/>
          <w:b w:val="0"/>
          <w:bCs/>
          <w:sz w:val="24"/>
        </w:rPr>
        <w:t>计要求均应按《建筑地基基础设计规范》 GB 50007-2011、《建筑桩基技术规范》 JGJ 94-2008及其它相关标准执行。</w:t>
      </w:r>
    </w:p>
    <w:p>
      <w:pPr>
        <w:pStyle w:val="56"/>
        <w:spacing w:line="360" w:lineRule="auto"/>
        <w:ind w:firstLine="0" w:firstLineChars="0"/>
        <w:rPr>
          <w:rStyle w:val="31"/>
          <w:rFonts w:cs="Times New Roman"/>
          <w:bCs/>
          <w:sz w:val="24"/>
        </w:rPr>
      </w:pPr>
      <w:r>
        <w:rPr>
          <w:rStyle w:val="31"/>
          <w:rFonts w:hint="eastAsia" w:ascii="Times New Roman" w:hAnsi="Times New Roman" w:cs="Times New Roman"/>
          <w:bCs/>
          <w:sz w:val="24"/>
        </w:rPr>
        <w:t>4.4.7.成桩的可行性</w:t>
      </w:r>
      <w:r>
        <w:rPr>
          <w:rStyle w:val="31"/>
          <w:rFonts w:hint="eastAsia" w:cs="Times New Roman"/>
          <w:b w:val="0"/>
          <w:bCs/>
          <w:sz w:val="24"/>
        </w:rPr>
        <w:t xml:space="preserve"> </w:t>
      </w:r>
    </w:p>
    <w:p>
      <w:pPr>
        <w:spacing w:line="360" w:lineRule="auto"/>
        <w:rPr>
          <w:rFonts w:hint="eastAsia"/>
          <w:sz w:val="24"/>
        </w:rPr>
      </w:pPr>
      <w:r>
        <w:rPr>
          <w:rFonts w:hint="eastAsia" w:cs="Times New Roman"/>
          <w:b/>
          <w:bCs/>
          <w:kern w:val="2"/>
          <w:sz w:val="24"/>
          <w:szCs w:val="28"/>
          <w:lang w:val="en-US" w:eastAsia="zh-CN" w:bidi="ar-SA"/>
        </w:rPr>
        <w:t>4.4.7.1</w:t>
      </w:r>
      <w:r>
        <w:rPr>
          <w:rFonts w:hint="default" w:ascii="Times New Roman" w:hAnsi="Times New Roman" w:eastAsia="宋体" w:cs="Times New Roman"/>
          <w:kern w:val="2"/>
          <w:sz w:val="24"/>
          <w:szCs w:val="28"/>
          <w:lang w:val="en-US" w:eastAsia="zh-CN" w:bidi="ar-SA"/>
        </w:rPr>
        <w:t>预应力混凝土管桩（PHC）</w:t>
      </w:r>
      <w:r>
        <w:rPr>
          <w:rFonts w:hint="eastAsia" w:cs="Times New Roman"/>
          <w:kern w:val="2"/>
          <w:sz w:val="24"/>
          <w:szCs w:val="28"/>
          <w:lang w:val="en-US" w:eastAsia="zh-CN" w:bidi="ar-SA"/>
        </w:rPr>
        <w:t>：</w:t>
      </w:r>
      <w:r>
        <w:rPr>
          <w:rFonts w:hint="eastAsia"/>
          <w:sz w:val="24"/>
        </w:rPr>
        <w:t>拟建</w:t>
      </w:r>
      <w:r>
        <w:rPr>
          <w:rFonts w:hint="default"/>
          <w:sz w:val="24"/>
          <w:lang w:val="en-US" w:eastAsia="zh-CN"/>
        </w:rPr>
        <w:t>16-S-1~16-S-11为1-3F</w:t>
      </w:r>
      <w:r>
        <w:rPr>
          <w:rFonts w:hint="default"/>
          <w:sz w:val="24"/>
          <w:lang w:eastAsia="zh-CN"/>
        </w:rPr>
        <w:t>商业</w:t>
      </w:r>
      <w:r>
        <w:rPr>
          <w:rFonts w:hint="eastAsia"/>
          <w:sz w:val="24"/>
          <w:lang w:eastAsia="zh-CN"/>
        </w:rPr>
        <w:t>部分，以第④层粗砂为持力层。</w:t>
      </w:r>
      <w:r>
        <w:rPr>
          <w:rFonts w:hint="eastAsia"/>
          <w:sz w:val="24"/>
        </w:rPr>
        <w:t>根据场地的地层条件，采用预应力管桩，若采用静压法施工，以终压值控制为主，桩终压力值可取桩的竖向承载力特征值的2.</w:t>
      </w:r>
      <w:r>
        <w:rPr>
          <w:rFonts w:hint="eastAsia"/>
          <w:sz w:val="24"/>
          <w:lang w:val="en-US" w:eastAsia="zh-CN"/>
        </w:rPr>
        <w:t>5</w:t>
      </w:r>
      <w:r>
        <w:rPr>
          <w:rFonts w:hint="eastAsia"/>
          <w:sz w:val="24"/>
        </w:rPr>
        <w:t>-2.</w:t>
      </w:r>
      <w:r>
        <w:rPr>
          <w:rFonts w:hint="eastAsia"/>
          <w:sz w:val="24"/>
          <w:lang w:val="en-US" w:eastAsia="zh-CN"/>
        </w:rPr>
        <w:t>6</w:t>
      </w:r>
      <w:r>
        <w:rPr>
          <w:rFonts w:hint="eastAsia"/>
          <w:sz w:val="24"/>
        </w:rPr>
        <w:t>倍。</w:t>
      </w:r>
    </w:p>
    <w:p>
      <w:pPr>
        <w:spacing w:line="360" w:lineRule="auto"/>
        <w:rPr>
          <w:rFonts w:hint="eastAsia"/>
          <w:sz w:val="24"/>
        </w:rPr>
      </w:pPr>
      <w:r>
        <w:rPr>
          <w:rFonts w:hint="eastAsia" w:cs="Times New Roman"/>
          <w:b/>
          <w:bCs/>
          <w:kern w:val="2"/>
          <w:sz w:val="24"/>
          <w:szCs w:val="28"/>
          <w:lang w:val="en-US" w:eastAsia="zh-CN" w:bidi="ar-SA"/>
        </w:rPr>
        <w:t>4.4.7.2</w:t>
      </w:r>
      <w:r>
        <w:rPr>
          <w:rFonts w:hint="default" w:ascii="Times New Roman" w:hAnsi="Times New Roman" w:eastAsia="宋体" w:cs="Times New Roman"/>
          <w:kern w:val="2"/>
          <w:sz w:val="24"/>
          <w:szCs w:val="28"/>
          <w:lang w:val="en-US" w:eastAsia="zh-CN" w:bidi="ar-SA"/>
        </w:rPr>
        <w:t>预应力混凝土管桩（PHC）</w:t>
      </w:r>
      <w:r>
        <w:rPr>
          <w:rFonts w:hint="eastAsia" w:ascii="Times New Roman" w:hAnsi="Times New Roman" w:eastAsia="宋体" w:cs="Times New Roman"/>
          <w:kern w:val="2"/>
          <w:sz w:val="24"/>
          <w:szCs w:val="28"/>
          <w:lang w:val="en-US" w:eastAsia="zh-CN" w:bidi="ar-SA"/>
        </w:rPr>
        <w:t>与预应力混凝土方桩（PHS）：</w:t>
      </w:r>
      <w:r>
        <w:rPr>
          <w:rFonts w:hint="eastAsia" w:ascii="Times New Roman" w:hAnsi="Times New Roman" w:eastAsia="宋体" w:cs="Times New Roman"/>
          <w:kern w:val="2"/>
          <w:sz w:val="24"/>
          <w:szCs w:val="28"/>
          <w:lang w:val="zh-CN" w:eastAsia="zh-CN" w:bidi="ar-SA"/>
        </w:rPr>
        <w:t>拟建高层</w:t>
      </w:r>
      <w:r>
        <w:rPr>
          <w:rFonts w:hint="eastAsia"/>
          <w:sz w:val="24"/>
          <w:lang w:eastAsia="zh-CN"/>
        </w:rPr>
        <w:t>部分，</w:t>
      </w:r>
      <w:r>
        <w:rPr>
          <w:rFonts w:hint="eastAsia"/>
          <w:sz w:val="24"/>
        </w:rPr>
        <w:t>拟建场地的</w:t>
      </w:r>
      <w:r>
        <w:rPr>
          <w:rFonts w:hint="eastAsia"/>
          <w:sz w:val="24"/>
          <w:lang w:eastAsia="zh-CN"/>
        </w:rPr>
        <w:t>第④层粗砂</w:t>
      </w:r>
      <w:r>
        <w:rPr>
          <w:rFonts w:hint="eastAsia"/>
          <w:sz w:val="24"/>
        </w:rPr>
        <w:t>层呈中密-密实状态，该层全场分布，厚度变化较大，密实度不均匀，桩较难穿透该层</w:t>
      </w:r>
      <w:r>
        <w:rPr>
          <w:rFonts w:hint="eastAsia"/>
          <w:sz w:val="24"/>
          <w:lang w:eastAsia="zh-CN"/>
        </w:rPr>
        <w:t>，建议采用带桩尖的预应力混凝土桩</w:t>
      </w:r>
      <w:r>
        <w:rPr>
          <w:rFonts w:hint="eastAsia"/>
          <w:sz w:val="24"/>
        </w:rPr>
        <w:t>，为保证有效桩长，宜采用锤击法施工，桩径若采用300mm的预应力管桩，宜采用4T桩锤进行施工，桩径若采用400mm的预应力管桩，宜采用6T桩锤进行施工</w:t>
      </w:r>
      <w:r>
        <w:rPr>
          <w:rFonts w:hint="eastAsia"/>
          <w:sz w:val="24"/>
          <w:lang w:eastAsia="zh-CN"/>
        </w:rPr>
        <w:t>，</w:t>
      </w:r>
      <w:r>
        <w:rPr>
          <w:rFonts w:hint="eastAsia"/>
          <w:sz w:val="24"/>
        </w:rPr>
        <w:t>桩径若采用</w:t>
      </w:r>
      <w:r>
        <w:rPr>
          <w:rFonts w:hint="eastAsia"/>
          <w:sz w:val="24"/>
          <w:lang w:val="en-US" w:eastAsia="zh-CN"/>
        </w:rPr>
        <w:t>5</w:t>
      </w:r>
      <w:r>
        <w:rPr>
          <w:rFonts w:hint="eastAsia"/>
          <w:sz w:val="24"/>
        </w:rPr>
        <w:t>00mm的预应力管桩，宜采用</w:t>
      </w:r>
      <w:r>
        <w:rPr>
          <w:rFonts w:hint="eastAsia"/>
          <w:sz w:val="24"/>
          <w:lang w:val="en-US" w:eastAsia="zh-CN"/>
        </w:rPr>
        <w:t>8</w:t>
      </w:r>
      <w:r>
        <w:rPr>
          <w:rFonts w:hint="eastAsia"/>
          <w:sz w:val="24"/>
        </w:rPr>
        <w:t>T桩锤进行施工。施工过程中以桩顶标高及贯入度双控，最终贯入度现场确定。若局部无法穿透，需采用静载荷试验确定单桩承载力特征值。若</w:t>
      </w:r>
      <w:r>
        <w:rPr>
          <w:rFonts w:hint="eastAsia"/>
          <w:sz w:val="24"/>
          <w:lang w:eastAsia="zh-CN"/>
        </w:rPr>
        <w:t>采用静压法施工</w:t>
      </w:r>
      <w:r>
        <w:rPr>
          <w:rFonts w:hint="eastAsia"/>
          <w:sz w:val="24"/>
        </w:rPr>
        <w:t>，则需</w:t>
      </w:r>
      <w:r>
        <w:rPr>
          <w:rFonts w:hint="eastAsia"/>
          <w:sz w:val="24"/>
          <w:lang w:eastAsia="zh-CN"/>
        </w:rPr>
        <w:t>采取</w:t>
      </w:r>
      <w:r>
        <w:rPr>
          <w:rFonts w:hint="eastAsia"/>
          <w:sz w:val="24"/>
        </w:rPr>
        <w:t>适当的措施以穿透该</w:t>
      </w:r>
      <w:r>
        <w:rPr>
          <w:rFonts w:hint="eastAsia"/>
          <w:sz w:val="24"/>
          <w:lang w:eastAsia="zh-CN"/>
        </w:rPr>
        <w:t>砂</w:t>
      </w:r>
      <w:r>
        <w:rPr>
          <w:rFonts w:hint="eastAsia"/>
          <w:sz w:val="24"/>
        </w:rPr>
        <w:t>层。若采用静压法施工，以终压值控制为主，桩终压力值可取桩的竖向承载力特征值的2.</w:t>
      </w:r>
      <w:r>
        <w:rPr>
          <w:rFonts w:hint="eastAsia"/>
          <w:sz w:val="24"/>
          <w:lang w:val="en-US" w:eastAsia="zh-CN"/>
        </w:rPr>
        <w:t>3</w:t>
      </w:r>
      <w:r>
        <w:rPr>
          <w:rFonts w:hint="eastAsia"/>
          <w:sz w:val="24"/>
        </w:rPr>
        <w:t>-2.</w:t>
      </w:r>
      <w:r>
        <w:rPr>
          <w:rFonts w:hint="eastAsia"/>
          <w:sz w:val="24"/>
          <w:lang w:val="en-US" w:eastAsia="zh-CN"/>
        </w:rPr>
        <w:t>4</w:t>
      </w:r>
      <w:r>
        <w:rPr>
          <w:rFonts w:hint="eastAsia"/>
          <w:sz w:val="24"/>
        </w:rPr>
        <w:t>倍。</w:t>
      </w:r>
    </w:p>
    <w:p>
      <w:pPr>
        <w:spacing w:line="360" w:lineRule="auto"/>
        <w:ind w:firstLine="480" w:firstLineChars="200"/>
        <w:rPr>
          <w:rFonts w:hint="eastAsia"/>
          <w:sz w:val="24"/>
        </w:rPr>
      </w:pPr>
      <w:r>
        <w:rPr>
          <w:rFonts w:hint="eastAsia" w:ascii="Times New Roman" w:hAnsi="Times New Roman" w:cs="Times New Roman"/>
          <w:bCs/>
          <w:sz w:val="24"/>
          <w:szCs w:val="32"/>
        </w:rPr>
        <w:t>采用静压法或锤击法施工，应进行</w:t>
      </w:r>
      <w:r>
        <w:rPr>
          <w:rFonts w:hint="eastAsia" w:ascii="Times New Roman" w:hAnsi="Times New Roman" w:cs="Times New Roman"/>
          <w:bCs/>
          <w:sz w:val="24"/>
          <w:szCs w:val="32"/>
          <w:lang w:eastAsia="zh-CN"/>
        </w:rPr>
        <w:t>试验</w:t>
      </w:r>
      <w:r>
        <w:rPr>
          <w:rFonts w:hint="eastAsia" w:ascii="Times New Roman" w:hAnsi="Times New Roman" w:cs="Times New Roman"/>
          <w:bCs/>
          <w:sz w:val="24"/>
          <w:szCs w:val="32"/>
        </w:rPr>
        <w:t>桩。</w:t>
      </w:r>
    </w:p>
    <w:p>
      <w:pPr>
        <w:spacing w:line="360" w:lineRule="auto"/>
        <w:rPr>
          <w:rFonts w:hint="eastAsia"/>
          <w:sz w:val="24"/>
        </w:rPr>
      </w:pPr>
      <w:r>
        <w:rPr>
          <w:rFonts w:hint="eastAsia" w:cs="Times New Roman"/>
          <w:b/>
          <w:bCs/>
          <w:kern w:val="2"/>
          <w:sz w:val="24"/>
          <w:szCs w:val="28"/>
          <w:lang w:val="en-US" w:eastAsia="zh-CN" w:bidi="ar-SA"/>
        </w:rPr>
        <w:t>4.4.7.3</w:t>
      </w:r>
      <w:r>
        <w:rPr>
          <w:rFonts w:hint="eastAsia"/>
          <w:sz w:val="24"/>
        </w:rPr>
        <w:t>长螺旋钻孔压灌桩</w:t>
      </w:r>
      <w:r>
        <w:rPr>
          <w:rFonts w:hint="eastAsia"/>
          <w:sz w:val="24"/>
          <w:lang w:eastAsia="zh-CN"/>
        </w:rPr>
        <w:t>：</w:t>
      </w:r>
      <w:r>
        <w:rPr>
          <w:rFonts w:hint="eastAsia"/>
          <w:sz w:val="24"/>
        </w:rPr>
        <w:t>长螺旋钻孔压灌桩施工时对环境影响较小。桩型可适应本场地的地质条件。根据同类场地的施工经验，桩型可行。</w:t>
      </w:r>
    </w:p>
    <w:p>
      <w:pPr>
        <w:pStyle w:val="3"/>
        <w:keepNext w:val="0"/>
        <w:keepLines w:val="0"/>
        <w:spacing w:before="0" w:after="0" w:line="480" w:lineRule="auto"/>
        <w:jc w:val="left"/>
        <w:rPr>
          <w:rFonts w:ascii="Times New Roman" w:hAnsi="Times New Roman" w:eastAsia="黑体" w:cstheme="majorBidi"/>
          <w:sz w:val="28"/>
        </w:rPr>
      </w:pPr>
      <w:bookmarkStart w:id="35" w:name="_Toc10468528"/>
      <w:r>
        <w:rPr>
          <w:rFonts w:hint="eastAsia" w:ascii="Times New Roman" w:hAnsi="Times New Roman" w:eastAsia="黑体" w:cstheme="majorBidi"/>
          <w:sz w:val="28"/>
        </w:rPr>
        <w:t>4.5.桩型选择及对环境影响评价</w:t>
      </w:r>
      <w:bookmarkEnd w:id="35"/>
    </w:p>
    <w:p>
      <w:pPr>
        <w:pStyle w:val="56"/>
        <w:spacing w:line="360" w:lineRule="auto"/>
        <w:ind w:firstLine="0" w:firstLineChars="0"/>
        <w:rPr>
          <w:rStyle w:val="31"/>
          <w:rFonts w:ascii="Times New Roman" w:hAnsi="Times New Roman" w:cs="Times New Roman"/>
          <w:bCs/>
          <w:sz w:val="24"/>
        </w:rPr>
      </w:pPr>
      <w:bookmarkStart w:id="36" w:name="OLE_LINK17"/>
      <w:bookmarkStart w:id="37" w:name="OLE_LINK18"/>
      <w:r>
        <w:rPr>
          <w:rStyle w:val="31"/>
          <w:rFonts w:ascii="Times New Roman" w:hAnsi="Times New Roman" w:cs="Times New Roman"/>
          <w:bCs/>
          <w:sz w:val="24"/>
        </w:rPr>
        <w:t>4.5.1.</w:t>
      </w:r>
      <w:r>
        <w:rPr>
          <w:rStyle w:val="31"/>
          <w:rFonts w:hint="eastAsia" w:ascii="Times New Roman" w:hAnsi="Times New Roman" w:cs="Times New Roman"/>
          <w:bCs/>
          <w:sz w:val="24"/>
        </w:rPr>
        <w:t>预应力混凝土桩</w:t>
      </w:r>
      <w:bookmarkEnd w:id="36"/>
      <w:bookmarkEnd w:id="37"/>
      <w:r>
        <w:rPr>
          <w:rStyle w:val="31"/>
          <w:rFonts w:hint="eastAsia" w:ascii="Times New Roman" w:hAnsi="Times New Roman" w:cs="Times New Roman"/>
          <w:bCs/>
          <w:sz w:val="24"/>
        </w:rPr>
        <w:t>方案的优点</w:t>
      </w:r>
    </w:p>
    <w:p>
      <w:pPr>
        <w:spacing w:line="360" w:lineRule="auto"/>
        <w:ind w:firstLine="480" w:firstLineChars="200"/>
        <w:rPr>
          <w:sz w:val="24"/>
        </w:rPr>
      </w:pPr>
      <w:r>
        <w:rPr>
          <w:rFonts w:hint="eastAsia"/>
          <w:sz w:val="24"/>
        </w:rPr>
        <w:t>预应力混凝土桩均为标准试件，桩身质量可以保证；可以大规模定制，单桩承载力高，经济性较好；施工过程中，无弃土，便于操作，沉桩速度较快；静压法施工无噪音，对环境无影响；锤击法施工设备相对简单，对场地条件要求较低，贯入能力强，较易控制桩长，截桩量较小。</w:t>
      </w:r>
    </w:p>
    <w:p>
      <w:pPr>
        <w:pStyle w:val="56"/>
        <w:spacing w:line="360" w:lineRule="auto"/>
        <w:ind w:firstLine="0" w:firstLineChars="0"/>
        <w:rPr>
          <w:rStyle w:val="31"/>
          <w:rFonts w:ascii="Times New Roman" w:hAnsi="Times New Roman" w:cs="Times New Roman"/>
          <w:bCs/>
          <w:sz w:val="24"/>
        </w:rPr>
      </w:pPr>
      <w:r>
        <w:rPr>
          <w:rStyle w:val="31"/>
          <w:rFonts w:ascii="Times New Roman" w:hAnsi="Times New Roman" w:cs="Times New Roman"/>
          <w:bCs/>
          <w:sz w:val="24"/>
        </w:rPr>
        <w:t>4.5.1.</w:t>
      </w:r>
      <w:r>
        <w:rPr>
          <w:rStyle w:val="31"/>
          <w:rFonts w:hint="eastAsia" w:ascii="Times New Roman" w:hAnsi="Times New Roman" w:cs="Times New Roman"/>
          <w:bCs/>
          <w:sz w:val="24"/>
        </w:rPr>
        <w:t>预应力混凝土桩方案的缺点</w:t>
      </w:r>
    </w:p>
    <w:p>
      <w:pPr>
        <w:spacing w:line="360" w:lineRule="auto"/>
        <w:ind w:firstLine="480" w:firstLineChars="200"/>
        <w:rPr>
          <w:rFonts w:hint="eastAsia"/>
          <w:sz w:val="24"/>
        </w:rPr>
      </w:pPr>
      <w:r>
        <w:rPr>
          <w:rFonts w:hint="eastAsia"/>
          <w:sz w:val="24"/>
        </w:rPr>
        <w:t>预应力混凝土桩为挤土桩，施工时将产生明显挤土效应，对周边环境及成桩质量均产生较大的影响。打桩过程应合理安排打桩顺序，确保桩身垂直度。应进行其对临近建筑及地下管线产生的挤土影响进行评估，必要时可挖设隔挤沟、打设隔挤孔等。锤击法施工有震动，有噪音。</w:t>
      </w:r>
    </w:p>
    <w:p>
      <w:pPr>
        <w:pStyle w:val="56"/>
        <w:spacing w:line="360" w:lineRule="auto"/>
        <w:ind w:firstLine="0" w:firstLineChars="0"/>
        <w:rPr>
          <w:rStyle w:val="31"/>
          <w:rFonts w:ascii="Times New Roman" w:hAnsi="Times New Roman" w:cs="Times New Roman"/>
          <w:bCs/>
          <w:sz w:val="24"/>
        </w:rPr>
      </w:pPr>
      <w:r>
        <w:rPr>
          <w:rStyle w:val="31"/>
          <w:rFonts w:ascii="Times New Roman" w:hAnsi="Times New Roman" w:cs="Times New Roman"/>
          <w:bCs/>
          <w:sz w:val="24"/>
        </w:rPr>
        <w:t>4.5.</w:t>
      </w:r>
      <w:r>
        <w:rPr>
          <w:rStyle w:val="31"/>
          <w:rFonts w:hint="eastAsia" w:ascii="Times New Roman" w:hAnsi="Times New Roman" w:cs="Times New Roman"/>
          <w:bCs/>
          <w:sz w:val="24"/>
          <w:lang w:val="en-US"/>
        </w:rPr>
        <w:t>2</w:t>
      </w:r>
      <w:r>
        <w:rPr>
          <w:rStyle w:val="31"/>
          <w:rFonts w:hint="eastAsia" w:ascii="Times New Roman" w:hAnsi="Times New Roman" w:cs="Times New Roman"/>
          <w:bCs/>
          <w:sz w:val="24"/>
        </w:rPr>
        <w:t>.长螺旋钻孔压灌混凝土桩</w:t>
      </w:r>
    </w:p>
    <w:p>
      <w:pPr>
        <w:spacing w:line="360" w:lineRule="auto"/>
        <w:rPr>
          <w:sz w:val="24"/>
        </w:rPr>
      </w:pPr>
      <w:r>
        <w:rPr>
          <w:rFonts w:hint="eastAsia"/>
          <w:b/>
          <w:sz w:val="24"/>
        </w:rPr>
        <w:t>4.5.</w:t>
      </w:r>
      <w:r>
        <w:rPr>
          <w:rFonts w:hint="eastAsia"/>
          <w:b/>
          <w:sz w:val="24"/>
          <w:lang w:val="en-US" w:eastAsia="zh-CN"/>
        </w:rPr>
        <w:t>2</w:t>
      </w:r>
      <w:r>
        <w:rPr>
          <w:rFonts w:hint="eastAsia"/>
          <w:b/>
          <w:sz w:val="24"/>
        </w:rPr>
        <w:t>.1.</w:t>
      </w:r>
      <w:r>
        <w:rPr>
          <w:rFonts w:hint="eastAsia"/>
          <w:sz w:val="24"/>
        </w:rPr>
        <w:t>长螺旋钻孔压灌混凝土桩方案的优点：</w:t>
      </w:r>
    </w:p>
    <w:p>
      <w:pPr>
        <w:spacing w:line="360" w:lineRule="auto"/>
        <w:ind w:firstLine="480" w:firstLineChars="200"/>
        <w:rPr>
          <w:sz w:val="24"/>
        </w:rPr>
      </w:pPr>
      <w:r>
        <w:rPr>
          <w:rFonts w:hint="eastAsia"/>
          <w:sz w:val="24"/>
        </w:rPr>
        <w:t>具有无振动、承载力高、非挤土、可以根据地质条件调整桩长，不易造成浪费。</w:t>
      </w:r>
    </w:p>
    <w:p>
      <w:pPr>
        <w:spacing w:line="360" w:lineRule="auto"/>
        <w:rPr>
          <w:sz w:val="24"/>
        </w:rPr>
      </w:pPr>
      <w:r>
        <w:rPr>
          <w:rFonts w:hint="eastAsia"/>
          <w:b/>
          <w:sz w:val="24"/>
        </w:rPr>
        <w:t>4.5.</w:t>
      </w:r>
      <w:r>
        <w:rPr>
          <w:rFonts w:hint="eastAsia"/>
          <w:b/>
          <w:sz w:val="24"/>
          <w:lang w:val="en-US" w:eastAsia="zh-CN"/>
        </w:rPr>
        <w:t>2</w:t>
      </w:r>
      <w:r>
        <w:rPr>
          <w:rFonts w:hint="eastAsia"/>
          <w:b/>
          <w:sz w:val="24"/>
        </w:rPr>
        <w:t>.2.</w:t>
      </w:r>
      <w:r>
        <w:rPr>
          <w:rFonts w:hint="eastAsia"/>
          <w:sz w:val="24"/>
        </w:rPr>
        <w:t>长螺旋钻孔压灌混凝土桩方案的缺点：</w:t>
      </w:r>
    </w:p>
    <w:p>
      <w:pPr>
        <w:spacing w:line="360" w:lineRule="auto"/>
        <w:ind w:firstLine="480" w:firstLineChars="200"/>
        <w:rPr>
          <w:rFonts w:hint="eastAsia"/>
          <w:sz w:val="24"/>
        </w:rPr>
      </w:pPr>
      <w:r>
        <w:rPr>
          <w:rFonts w:hint="eastAsia"/>
          <w:sz w:val="24"/>
        </w:rPr>
        <w:t>长螺旋钻孔压灌桩施工时场地有弃土。</w:t>
      </w:r>
    </w:p>
    <w:p>
      <w:pPr>
        <w:pStyle w:val="2"/>
        <w:keepNext w:val="0"/>
        <w:keepLines w:val="0"/>
        <w:numPr>
          <w:ilvl w:val="0"/>
          <w:numId w:val="2"/>
        </w:numPr>
        <w:spacing w:before="0" w:after="0" w:line="720" w:lineRule="auto"/>
        <w:jc w:val="left"/>
        <w:rPr>
          <w:rFonts w:eastAsia="黑体"/>
          <w:sz w:val="28"/>
        </w:rPr>
      </w:pPr>
      <w:bookmarkStart w:id="38" w:name="_Toc10468529"/>
      <w:r>
        <w:rPr>
          <w:rFonts w:hint="eastAsia" w:eastAsia="黑体"/>
          <w:sz w:val="28"/>
        </w:rPr>
        <w:t>地下水对工程的影响</w:t>
      </w:r>
      <w:bookmarkEnd w:id="38"/>
    </w:p>
    <w:p>
      <w:pPr>
        <w:pStyle w:val="3"/>
        <w:keepNext w:val="0"/>
        <w:keepLines w:val="0"/>
        <w:numPr>
          <w:ilvl w:val="1"/>
          <w:numId w:val="2"/>
        </w:numPr>
        <w:spacing w:before="0" w:after="0" w:line="480" w:lineRule="auto"/>
        <w:ind w:left="0"/>
        <w:jc w:val="left"/>
        <w:rPr>
          <w:rFonts w:ascii="Times New Roman" w:hAnsi="Times New Roman" w:eastAsia="黑体" w:cstheme="majorBidi"/>
          <w:sz w:val="28"/>
        </w:rPr>
      </w:pPr>
      <w:bookmarkStart w:id="39" w:name="_Toc10468530"/>
      <w:r>
        <w:rPr>
          <w:rFonts w:hint="eastAsia" w:ascii="Times New Roman" w:hAnsi="Times New Roman" w:eastAsia="黑体" w:cstheme="majorBidi"/>
          <w:sz w:val="28"/>
        </w:rPr>
        <w:t>地下水与土的腐蚀性评价</w:t>
      </w:r>
      <w:bookmarkEnd w:id="39"/>
    </w:p>
    <w:p>
      <w:pPr>
        <w:pStyle w:val="3"/>
        <w:keepNext w:val="0"/>
        <w:keepLines w:val="0"/>
        <w:numPr>
          <w:ilvl w:val="0"/>
          <w:numId w:val="0"/>
        </w:numPr>
        <w:spacing w:before="0" w:after="0" w:line="360" w:lineRule="auto"/>
        <w:ind w:leftChars="0" w:firstLine="480" w:firstLineChars="200"/>
        <w:jc w:val="left"/>
        <w:rPr>
          <w:rFonts w:ascii="Times New Roman" w:hAnsi="Times New Roman"/>
          <w:b w:val="0"/>
          <w:bCs w:val="0"/>
          <w:sz w:val="24"/>
          <w:szCs w:val="24"/>
        </w:rPr>
      </w:pPr>
      <w:bookmarkStart w:id="40" w:name="_Toc10468531"/>
      <w:r>
        <w:rPr>
          <w:rFonts w:hint="eastAsia" w:ascii="Times New Roman" w:hAnsi="Times New Roman"/>
          <w:b w:val="0"/>
          <w:bCs w:val="0"/>
          <w:sz w:val="24"/>
          <w:szCs w:val="24"/>
        </w:rPr>
        <w:t>根据我院踏勘及调查结果，拟建场区周围无污染源，依据《岩土工程勘察规范》 GB 50021-2001（2009年版）中有关评价规定，结合场区环境类型、特点、受地层渗透性影响等因素综合分析判定：拟建场区地下水对混凝土结构具有微腐蚀性，对钢筋混凝土结构中的钢筋具有微腐蚀性。若施工时发现污染源，请通知我院分析处理。</w:t>
      </w:r>
    </w:p>
    <w:p>
      <w:pPr>
        <w:pStyle w:val="3"/>
        <w:keepNext w:val="0"/>
        <w:keepLines w:val="0"/>
        <w:numPr>
          <w:ilvl w:val="1"/>
          <w:numId w:val="2"/>
        </w:numPr>
        <w:spacing w:before="0" w:after="0" w:line="480" w:lineRule="auto"/>
        <w:ind w:left="0"/>
        <w:jc w:val="left"/>
        <w:rPr>
          <w:rFonts w:ascii="Times New Roman" w:hAnsi="Times New Roman" w:eastAsia="黑体" w:cstheme="majorBidi"/>
          <w:sz w:val="28"/>
        </w:rPr>
      </w:pPr>
      <w:r>
        <w:rPr>
          <w:rFonts w:hint="eastAsia" w:ascii="Times New Roman" w:hAnsi="Times New Roman" w:eastAsia="黑体" w:cstheme="majorBidi"/>
          <w:sz w:val="28"/>
        </w:rPr>
        <w:t>地下水对基础的影响</w:t>
      </w:r>
      <w:bookmarkEnd w:id="40"/>
    </w:p>
    <w:p>
      <w:pPr>
        <w:spacing w:line="360" w:lineRule="auto"/>
        <w:rPr>
          <w:sz w:val="24"/>
        </w:rPr>
      </w:pPr>
      <w:r>
        <w:rPr>
          <w:rFonts w:hint="eastAsia"/>
          <w:b/>
          <w:sz w:val="24"/>
        </w:rPr>
        <w:t>5.2.1.</w:t>
      </w:r>
      <w:r>
        <w:rPr>
          <w:rFonts w:hint="eastAsia"/>
          <w:sz w:val="24"/>
        </w:rPr>
        <w:t>拟建场地地下水埋藏较浅，对浅基础施工有一定的影响，建议采取井点降水。拟建场地第②层粉质黏土</w:t>
      </w:r>
      <w:r>
        <w:rPr>
          <w:sz w:val="24"/>
        </w:rPr>
        <w:t>k=0.</w:t>
      </w:r>
      <w:r>
        <w:rPr>
          <w:rFonts w:hint="eastAsia"/>
          <w:sz w:val="24"/>
          <w:lang w:val="en-US" w:eastAsia="zh-CN"/>
        </w:rPr>
        <w:t>35</w:t>
      </w:r>
      <w:r>
        <w:rPr>
          <w:sz w:val="24"/>
        </w:rPr>
        <w:t>m/d</w:t>
      </w:r>
      <w:r>
        <w:rPr>
          <w:rFonts w:hint="eastAsia"/>
          <w:sz w:val="24"/>
        </w:rPr>
        <w:t>、第③层粉质黏土渗透系数为</w:t>
      </w:r>
      <w:r>
        <w:rPr>
          <w:sz w:val="24"/>
        </w:rPr>
        <w:t>k=0.</w:t>
      </w:r>
      <w:r>
        <w:rPr>
          <w:rFonts w:hint="eastAsia"/>
          <w:sz w:val="24"/>
          <w:lang w:val="en-US" w:eastAsia="zh-CN"/>
        </w:rPr>
        <w:t>30</w:t>
      </w:r>
      <w:r>
        <w:rPr>
          <w:sz w:val="24"/>
        </w:rPr>
        <w:t>m/d，第</w:t>
      </w:r>
      <w:r>
        <w:rPr>
          <w:rFonts w:hint="eastAsia"/>
          <w:sz w:val="24"/>
        </w:rPr>
        <w:t>④层</w:t>
      </w:r>
      <w:r>
        <w:rPr>
          <w:rFonts w:hint="eastAsia"/>
          <w:sz w:val="24"/>
          <w:lang w:eastAsia="zh-CN"/>
        </w:rPr>
        <w:t>粗砂</w:t>
      </w:r>
      <w:r>
        <w:rPr>
          <w:rFonts w:hint="eastAsia"/>
          <w:sz w:val="24"/>
        </w:rPr>
        <w:t>渗透系数为k=35.0m/d。</w:t>
      </w:r>
    </w:p>
    <w:p>
      <w:pPr>
        <w:spacing w:line="360" w:lineRule="auto"/>
        <w:rPr>
          <w:sz w:val="24"/>
        </w:rPr>
      </w:pPr>
      <w:r>
        <w:rPr>
          <w:rFonts w:hint="eastAsia"/>
          <w:b/>
          <w:sz w:val="24"/>
        </w:rPr>
        <w:t>5.2.2.</w:t>
      </w:r>
      <w:r>
        <w:rPr>
          <w:rFonts w:hint="eastAsia"/>
          <w:sz w:val="24"/>
        </w:rPr>
        <w:t>地下水对桩基设计和施工的影响：拟建场地地下水为地下潜水类型，无承压含水层，对预应力混凝土管桩（PHC）的施工</w:t>
      </w:r>
      <w:r>
        <w:rPr>
          <w:rFonts w:hint="eastAsia"/>
          <w:sz w:val="24"/>
          <w:lang w:eastAsia="zh-CN"/>
        </w:rPr>
        <w:t>无</w:t>
      </w:r>
      <w:r>
        <w:rPr>
          <w:rFonts w:hint="eastAsia"/>
          <w:sz w:val="24"/>
        </w:rPr>
        <w:t>影响。</w:t>
      </w:r>
    </w:p>
    <w:p>
      <w:pPr>
        <w:pStyle w:val="3"/>
        <w:keepNext w:val="0"/>
        <w:keepLines w:val="0"/>
        <w:numPr>
          <w:ilvl w:val="1"/>
          <w:numId w:val="2"/>
        </w:numPr>
        <w:spacing w:before="0" w:after="0" w:line="480" w:lineRule="auto"/>
        <w:ind w:left="0"/>
        <w:jc w:val="left"/>
        <w:rPr>
          <w:rFonts w:ascii="Times New Roman" w:hAnsi="Times New Roman" w:eastAsia="黑体" w:cstheme="majorBidi"/>
          <w:sz w:val="28"/>
        </w:rPr>
      </w:pPr>
      <w:bookmarkStart w:id="41" w:name="_Toc10468532"/>
      <w:r>
        <w:rPr>
          <w:rFonts w:hint="eastAsia" w:ascii="Times New Roman" w:hAnsi="Times New Roman" w:eastAsia="黑体" w:cstheme="majorBidi"/>
          <w:sz w:val="28"/>
        </w:rPr>
        <w:t>抗浮水位</w:t>
      </w:r>
      <w:bookmarkEnd w:id="41"/>
    </w:p>
    <w:p>
      <w:pPr>
        <w:spacing w:line="360" w:lineRule="auto"/>
        <w:ind w:firstLine="480" w:firstLineChars="200"/>
        <w:rPr>
          <w:sz w:val="24"/>
        </w:rPr>
      </w:pPr>
      <w:r>
        <w:rPr>
          <w:rFonts w:hint="eastAsia"/>
          <w:sz w:val="24"/>
        </w:rPr>
        <w:t>考虑建筑使用期间、地下水位的周期变化以及施工肥槽的渗漏等因素，但要充分考虑雨水、地面积水、地下室肥槽渗漏对地下结构的影响，并结合场地的地形地貌及周边道路标高及勘察时的最高水位，</w:t>
      </w:r>
      <w:r>
        <w:rPr>
          <w:rFonts w:hint="eastAsia" w:ascii="Times New Roman" w:hAnsi="Times New Roman" w:cs="Times New Roman"/>
          <w:sz w:val="24"/>
          <w:szCs w:val="32"/>
        </w:rPr>
        <w:t>建议抗浮水位按室外地面下1.50m考虑。</w:t>
      </w:r>
      <w:r>
        <w:rPr>
          <w:rFonts w:hint="eastAsia"/>
          <w:sz w:val="24"/>
        </w:rPr>
        <w:t>如有异议，建议进行专门论证。</w:t>
      </w:r>
    </w:p>
    <w:p>
      <w:pPr>
        <w:pStyle w:val="3"/>
        <w:keepNext w:val="0"/>
        <w:keepLines w:val="0"/>
        <w:numPr>
          <w:ilvl w:val="1"/>
          <w:numId w:val="2"/>
        </w:numPr>
        <w:spacing w:before="0" w:after="0" w:line="480" w:lineRule="auto"/>
        <w:ind w:left="0"/>
        <w:jc w:val="left"/>
        <w:rPr>
          <w:rFonts w:ascii="Times New Roman" w:hAnsi="Times New Roman" w:eastAsia="黑体" w:cstheme="majorBidi"/>
          <w:sz w:val="28"/>
        </w:rPr>
      </w:pPr>
      <w:bookmarkStart w:id="42" w:name="_Toc10468533"/>
      <w:r>
        <w:rPr>
          <w:rFonts w:hint="eastAsia" w:ascii="Times New Roman" w:hAnsi="Times New Roman" w:eastAsia="黑体" w:cstheme="majorBidi"/>
          <w:sz w:val="28"/>
        </w:rPr>
        <w:t>抗浮措施</w:t>
      </w:r>
      <w:bookmarkEnd w:id="42"/>
    </w:p>
    <w:p>
      <w:pPr>
        <w:spacing w:line="360" w:lineRule="auto"/>
        <w:ind w:firstLine="480" w:firstLineChars="200"/>
        <w:rPr>
          <w:rFonts w:hint="default" w:ascii="Times New Roman" w:hAnsi="Times New Roman" w:cs="Times New Roman"/>
          <w:sz w:val="24"/>
          <w:lang w:val="zh-CN"/>
        </w:rPr>
      </w:pPr>
      <w:r>
        <w:rPr>
          <w:rFonts w:hint="default" w:ascii="Times New Roman" w:hAnsi="Times New Roman" w:cs="Times New Roman"/>
          <w:sz w:val="24"/>
          <w:highlight w:val="none"/>
        </w:rPr>
        <w:t>根据建筑的荷载及抗浮水位，应对建筑物进行抗浮计算，采取相应的抗浮措施，抗浮措施建议采用配重法。</w:t>
      </w:r>
      <w:r>
        <w:rPr>
          <w:rFonts w:hint="default" w:ascii="Times New Roman" w:hAnsi="Times New Roman" w:cs="Times New Roman"/>
          <w:sz w:val="24"/>
          <w:highlight w:val="none"/>
          <w:lang w:val="en-US" w:eastAsia="zh-CN"/>
        </w:rPr>
        <w:t>若配重法无法满足设计要求，可采用</w:t>
      </w:r>
      <w:r>
        <w:rPr>
          <w:rFonts w:hint="default" w:ascii="Times New Roman" w:hAnsi="Times New Roman" w:cs="Times New Roman"/>
          <w:sz w:val="24"/>
          <w:lang w:val="zh-CN"/>
        </w:rPr>
        <w:t>抗浮锚杆或抗浮桩，有关计算参数见表</w:t>
      </w:r>
      <w:r>
        <w:rPr>
          <w:rFonts w:hint="default" w:ascii="Times New Roman" w:hAnsi="Times New Roman" w:cs="Times New Roman"/>
          <w:sz w:val="24"/>
          <w:lang w:val="en-US" w:eastAsia="zh-CN"/>
        </w:rPr>
        <w:t>8</w:t>
      </w:r>
      <w:r>
        <w:rPr>
          <w:rFonts w:hint="default" w:ascii="Times New Roman" w:hAnsi="Times New Roman" w:cs="Times New Roman"/>
          <w:sz w:val="24"/>
          <w:lang w:val="zh-CN"/>
        </w:rPr>
        <w:t>，抗拔桩的抗拔力计算时，桩侧摩阻力特征值采用竖向抗压侧阻力特征值乘上抗拔系数λ，λ见表</w:t>
      </w:r>
      <w:r>
        <w:rPr>
          <w:rFonts w:hint="default" w:ascii="Times New Roman" w:hAnsi="Times New Roman" w:cs="Times New Roman"/>
          <w:sz w:val="24"/>
          <w:lang w:val="en-US" w:eastAsia="zh-CN"/>
        </w:rPr>
        <w:t>8</w:t>
      </w:r>
      <w:r>
        <w:rPr>
          <w:rFonts w:hint="default" w:ascii="Times New Roman" w:hAnsi="Times New Roman" w:cs="Times New Roman"/>
          <w:sz w:val="24"/>
          <w:lang w:val="zh-CN"/>
        </w:rPr>
        <w:t>。</w:t>
      </w:r>
    </w:p>
    <w:p>
      <w:pPr>
        <w:overflowPunct w:val="0"/>
        <w:spacing w:line="480" w:lineRule="exact"/>
        <w:jc w:val="center"/>
        <w:rPr>
          <w:sz w:val="22"/>
          <w:szCs w:val="22"/>
        </w:rPr>
      </w:pPr>
      <w:r>
        <w:rPr>
          <w:rFonts w:hint="eastAsia"/>
          <w:sz w:val="22"/>
          <w:szCs w:val="22"/>
        </w:rPr>
        <w:t>表</w:t>
      </w:r>
      <w:r>
        <w:rPr>
          <w:rFonts w:hint="eastAsia"/>
          <w:sz w:val="22"/>
          <w:szCs w:val="22"/>
          <w:lang w:val="en-US" w:eastAsia="zh-CN"/>
        </w:rPr>
        <w:t>8</w:t>
      </w:r>
      <w:r>
        <w:rPr>
          <w:rFonts w:hint="eastAsia"/>
          <w:sz w:val="22"/>
          <w:szCs w:val="22"/>
        </w:rPr>
        <w:t>抗浮方案设计参数</w:t>
      </w:r>
    </w:p>
    <w:tbl>
      <w:tblPr>
        <w:tblStyle w:val="13"/>
        <w:tblW w:w="98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3"/>
        <w:gridCol w:w="2464"/>
        <w:gridCol w:w="2464"/>
        <w:gridCol w:w="2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463" w:type="dxa"/>
            <w:vMerge w:val="restart"/>
            <w:noWrap/>
            <w:vAlign w:val="center"/>
          </w:tcPr>
          <w:p>
            <w:pPr>
              <w:overflowPunct w:val="0"/>
              <w:jc w:val="center"/>
              <w:rPr>
                <w:sz w:val="24"/>
                <w:szCs w:val="21"/>
              </w:rPr>
            </w:pPr>
            <w:r>
              <w:rPr>
                <w:rFonts w:hint="eastAsia"/>
                <w:sz w:val="24"/>
                <w:szCs w:val="21"/>
              </w:rPr>
              <w:t>岩土层号</w:t>
            </w:r>
          </w:p>
        </w:tc>
        <w:tc>
          <w:tcPr>
            <w:tcW w:w="2464" w:type="dxa"/>
            <w:vMerge w:val="restart"/>
            <w:noWrap/>
            <w:vAlign w:val="center"/>
          </w:tcPr>
          <w:p>
            <w:pPr>
              <w:overflowPunct w:val="0"/>
              <w:jc w:val="center"/>
              <w:rPr>
                <w:sz w:val="24"/>
                <w:szCs w:val="21"/>
              </w:rPr>
            </w:pPr>
            <w:r>
              <w:rPr>
                <w:rFonts w:hint="eastAsia"/>
                <w:sz w:val="24"/>
                <w:szCs w:val="21"/>
              </w:rPr>
              <w:t>岩土名称</w:t>
            </w:r>
          </w:p>
        </w:tc>
        <w:tc>
          <w:tcPr>
            <w:tcW w:w="2464" w:type="dxa"/>
            <w:vMerge w:val="restart"/>
            <w:noWrap/>
            <w:vAlign w:val="center"/>
          </w:tcPr>
          <w:p>
            <w:pPr>
              <w:overflowPunct w:val="0"/>
              <w:jc w:val="center"/>
              <w:rPr>
                <w:sz w:val="24"/>
              </w:rPr>
            </w:pPr>
            <w:r>
              <w:rPr>
                <w:rFonts w:hint="eastAsia"/>
                <w:sz w:val="24"/>
                <w:szCs w:val="21"/>
              </w:rPr>
              <w:t>抗拔系数</w:t>
            </w:r>
            <w:r>
              <w:rPr>
                <w:sz w:val="24"/>
                <w:szCs w:val="21"/>
              </w:rPr>
              <w:t>λ</w:t>
            </w:r>
          </w:p>
        </w:tc>
        <w:tc>
          <w:tcPr>
            <w:tcW w:w="2464" w:type="dxa"/>
            <w:vMerge w:val="restart"/>
            <w:noWrap/>
            <w:vAlign w:val="center"/>
          </w:tcPr>
          <w:p>
            <w:pPr>
              <w:overflowPunct w:val="0"/>
              <w:jc w:val="center"/>
              <w:rPr>
                <w:sz w:val="24"/>
                <w:szCs w:val="21"/>
              </w:rPr>
            </w:pPr>
            <w:r>
              <w:rPr>
                <w:rFonts w:hint="eastAsia"/>
                <w:sz w:val="24"/>
                <w:szCs w:val="21"/>
              </w:rPr>
              <w:t>抗浮锚杆的粘结强度</w:t>
            </w:r>
          </w:p>
          <w:p>
            <w:pPr>
              <w:overflowPunct w:val="0"/>
              <w:jc w:val="center"/>
              <w:rPr>
                <w:sz w:val="24"/>
                <w:szCs w:val="21"/>
              </w:rPr>
            </w:pPr>
            <w:r>
              <w:rPr>
                <w:rFonts w:hint="eastAsia"/>
                <w:sz w:val="24"/>
                <w:szCs w:val="21"/>
              </w:rPr>
              <w:t>特征值</w:t>
            </w:r>
            <w:r>
              <w:rPr>
                <w:i/>
                <w:sz w:val="24"/>
                <w:szCs w:val="21"/>
              </w:rPr>
              <w:t>f</w:t>
            </w:r>
            <w:r>
              <w:rPr>
                <w:sz w:val="24"/>
                <w:szCs w:val="21"/>
                <w:vertAlign w:val="subscript"/>
              </w:rPr>
              <w:t>rb</w:t>
            </w:r>
            <w:r>
              <w:rPr>
                <w:rFonts w:hint="eastAsia"/>
                <w:sz w:val="24"/>
                <w:szCs w:val="21"/>
              </w:rPr>
              <w:t>（</w:t>
            </w:r>
            <w:r>
              <w:rPr>
                <w:sz w:val="24"/>
                <w:szCs w:val="21"/>
              </w:rPr>
              <w:t>kPa</w:t>
            </w:r>
            <w:r>
              <w:rPr>
                <w:rFonts w:hint="eastAsia"/>
                <w:sz w:val="24"/>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463" w:type="dxa"/>
            <w:vMerge w:val="continue"/>
            <w:noWrap/>
            <w:vAlign w:val="center"/>
          </w:tcPr>
          <w:p>
            <w:pPr>
              <w:overflowPunct w:val="0"/>
              <w:jc w:val="center"/>
              <w:rPr>
                <w:sz w:val="24"/>
                <w:szCs w:val="21"/>
              </w:rPr>
            </w:pPr>
          </w:p>
        </w:tc>
        <w:tc>
          <w:tcPr>
            <w:tcW w:w="2464" w:type="dxa"/>
            <w:vMerge w:val="continue"/>
            <w:noWrap/>
            <w:vAlign w:val="center"/>
          </w:tcPr>
          <w:p>
            <w:pPr>
              <w:overflowPunct w:val="0"/>
              <w:jc w:val="center"/>
              <w:rPr>
                <w:sz w:val="24"/>
                <w:szCs w:val="21"/>
              </w:rPr>
            </w:pPr>
          </w:p>
        </w:tc>
        <w:tc>
          <w:tcPr>
            <w:tcW w:w="2464" w:type="dxa"/>
            <w:vMerge w:val="continue"/>
            <w:noWrap/>
          </w:tcPr>
          <w:p>
            <w:pPr>
              <w:overflowPunct w:val="0"/>
              <w:spacing w:line="300" w:lineRule="exact"/>
              <w:jc w:val="center"/>
              <w:rPr>
                <w:sz w:val="24"/>
                <w:szCs w:val="21"/>
              </w:rPr>
            </w:pPr>
          </w:p>
        </w:tc>
        <w:tc>
          <w:tcPr>
            <w:tcW w:w="2464" w:type="dxa"/>
            <w:vMerge w:val="continue"/>
            <w:noWrap/>
          </w:tcPr>
          <w:p>
            <w:pPr>
              <w:overflowPunct w:val="0"/>
              <w:spacing w:line="300" w:lineRule="exact"/>
              <w:jc w:val="center"/>
              <w:rPr>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463" w:type="dxa"/>
            <w:noWrap/>
            <w:vAlign w:val="center"/>
          </w:tcPr>
          <w:p>
            <w:pPr>
              <w:jc w:val="center"/>
              <w:rPr>
                <w:rFonts w:hint="eastAsia" w:ascii="宋体" w:eastAsia="宋体" w:cs="宋体"/>
                <w:sz w:val="24"/>
                <w:szCs w:val="21"/>
                <w:lang w:eastAsia="zh-CN"/>
              </w:rPr>
            </w:pPr>
            <w:r>
              <w:rPr>
                <w:rFonts w:hint="eastAsia"/>
                <w:lang w:val="en-US" w:eastAsia="zh-CN"/>
              </w:rPr>
              <w:t>②</w:t>
            </w:r>
          </w:p>
        </w:tc>
        <w:tc>
          <w:tcPr>
            <w:tcW w:w="2464" w:type="dxa"/>
            <w:noWrap/>
            <w:vAlign w:val="center"/>
          </w:tcPr>
          <w:p>
            <w:pPr>
              <w:jc w:val="center"/>
              <w:rPr>
                <w:sz w:val="24"/>
                <w:szCs w:val="21"/>
              </w:rPr>
            </w:pPr>
            <w:r>
              <w:rPr>
                <w:rFonts w:hint="eastAsia"/>
                <w:szCs w:val="21"/>
              </w:rPr>
              <w:t>粉质黏土</w:t>
            </w:r>
          </w:p>
        </w:tc>
        <w:tc>
          <w:tcPr>
            <w:tcW w:w="2464" w:type="dxa"/>
            <w:noWrap/>
            <w:vAlign w:val="center"/>
          </w:tcPr>
          <w:p>
            <w:pPr>
              <w:overflowPunct w:val="0"/>
              <w:jc w:val="center"/>
              <w:rPr>
                <w:rFonts w:hint="eastAsia" w:eastAsia="宋体"/>
                <w:sz w:val="24"/>
                <w:szCs w:val="21"/>
                <w:lang w:eastAsia="zh-CN"/>
              </w:rPr>
            </w:pPr>
            <w:r>
              <w:rPr>
                <w:rFonts w:ascii="Times New Roman" w:hAnsi="Times New Roman" w:cs="Times New Roman"/>
                <w:sz w:val="24"/>
                <w:szCs w:val="21"/>
              </w:rPr>
              <w:t>0.70</w:t>
            </w:r>
          </w:p>
        </w:tc>
        <w:tc>
          <w:tcPr>
            <w:tcW w:w="2464" w:type="dxa"/>
            <w:noWrap/>
            <w:vAlign w:val="center"/>
          </w:tcPr>
          <w:p>
            <w:pPr>
              <w:overflowPunct w:val="0"/>
              <w:jc w:val="center"/>
              <w:rPr>
                <w:rFonts w:hint="eastAsia" w:eastAsia="宋体"/>
                <w:sz w:val="24"/>
                <w:szCs w:val="21"/>
                <w:lang w:eastAsia="zh-CN"/>
              </w:rPr>
            </w:pPr>
            <w:r>
              <w:rPr>
                <w:rFonts w:ascii="Times New Roman" w:hAnsi="Times New Roman" w:eastAsia="宋体" w:cs="Times New Roman"/>
                <w:sz w:val="24"/>
                <w:szCs w:val="21"/>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463" w:type="dxa"/>
            <w:noWrap/>
            <w:vAlign w:val="center"/>
          </w:tcPr>
          <w:p>
            <w:pPr>
              <w:jc w:val="center"/>
              <w:rPr>
                <w:rFonts w:hint="eastAsia" w:ascii="宋体" w:eastAsia="宋体" w:cs="宋体"/>
                <w:sz w:val="24"/>
                <w:szCs w:val="21"/>
                <w:lang w:eastAsia="zh-CN"/>
              </w:rPr>
            </w:pPr>
            <w:r>
              <w:rPr>
                <w:rFonts w:hint="eastAsia"/>
                <w:lang w:val="en-US" w:eastAsia="zh-CN"/>
              </w:rPr>
              <w:t>③</w:t>
            </w:r>
          </w:p>
        </w:tc>
        <w:tc>
          <w:tcPr>
            <w:tcW w:w="2464" w:type="dxa"/>
            <w:noWrap/>
            <w:vAlign w:val="center"/>
          </w:tcPr>
          <w:p>
            <w:pPr>
              <w:jc w:val="center"/>
              <w:rPr>
                <w:sz w:val="24"/>
                <w:szCs w:val="21"/>
              </w:rPr>
            </w:pPr>
            <w:r>
              <w:rPr>
                <w:rFonts w:hint="eastAsia"/>
                <w:szCs w:val="21"/>
              </w:rPr>
              <w:t>粉质黏土</w:t>
            </w:r>
          </w:p>
        </w:tc>
        <w:tc>
          <w:tcPr>
            <w:tcW w:w="2464" w:type="dxa"/>
            <w:noWrap/>
            <w:vAlign w:val="center"/>
          </w:tcPr>
          <w:p>
            <w:pPr>
              <w:overflowPunct w:val="0"/>
              <w:jc w:val="center"/>
              <w:rPr>
                <w:sz w:val="24"/>
                <w:szCs w:val="21"/>
              </w:rPr>
            </w:pPr>
            <w:r>
              <w:rPr>
                <w:rFonts w:ascii="Times New Roman" w:hAnsi="Times New Roman" w:cs="Times New Roman"/>
                <w:sz w:val="24"/>
                <w:szCs w:val="21"/>
              </w:rPr>
              <w:t>0.70</w:t>
            </w:r>
          </w:p>
        </w:tc>
        <w:tc>
          <w:tcPr>
            <w:tcW w:w="2464" w:type="dxa"/>
            <w:noWrap/>
            <w:vAlign w:val="center"/>
          </w:tcPr>
          <w:p>
            <w:pPr>
              <w:overflowPunct w:val="0"/>
              <w:jc w:val="center"/>
              <w:rPr>
                <w:rFonts w:hint="default" w:eastAsia="宋体"/>
                <w:sz w:val="24"/>
                <w:szCs w:val="21"/>
                <w:lang w:val="en-US" w:eastAsia="zh-CN"/>
              </w:rPr>
            </w:pPr>
            <w:r>
              <w:rPr>
                <w:rFonts w:ascii="Times New Roman" w:hAnsi="Times New Roman" w:eastAsia="宋体" w:cs="Times New Roman"/>
                <w:sz w:val="24"/>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463" w:type="dxa"/>
            <w:noWrap/>
            <w:vAlign w:val="center"/>
          </w:tcPr>
          <w:p>
            <w:pPr>
              <w:jc w:val="center"/>
              <w:rPr>
                <w:rFonts w:hint="eastAsia" w:eastAsia="宋体"/>
                <w:sz w:val="24"/>
                <w:szCs w:val="21"/>
                <w:lang w:eastAsia="zh-CN"/>
              </w:rPr>
            </w:pPr>
            <w:r>
              <w:rPr>
                <w:rFonts w:hint="eastAsia"/>
                <w:lang w:val="en-US" w:eastAsia="zh-CN"/>
              </w:rPr>
              <w:t>④</w:t>
            </w:r>
          </w:p>
        </w:tc>
        <w:tc>
          <w:tcPr>
            <w:tcW w:w="2464" w:type="dxa"/>
            <w:noWrap/>
            <w:vAlign w:val="center"/>
          </w:tcPr>
          <w:p>
            <w:pPr>
              <w:jc w:val="center"/>
              <w:rPr>
                <w:sz w:val="24"/>
                <w:szCs w:val="21"/>
              </w:rPr>
            </w:pPr>
            <w:r>
              <w:rPr>
                <w:rFonts w:hint="eastAsia"/>
                <w:szCs w:val="21"/>
                <w:lang w:val="en-US" w:eastAsia="zh-CN"/>
              </w:rPr>
              <w:t>粗砂</w:t>
            </w:r>
          </w:p>
        </w:tc>
        <w:tc>
          <w:tcPr>
            <w:tcW w:w="2464" w:type="dxa"/>
            <w:noWrap/>
            <w:vAlign w:val="center"/>
          </w:tcPr>
          <w:p>
            <w:pPr>
              <w:overflowPunct w:val="0"/>
              <w:jc w:val="center"/>
              <w:rPr>
                <w:sz w:val="24"/>
                <w:szCs w:val="21"/>
              </w:rPr>
            </w:pPr>
            <w:r>
              <w:rPr>
                <w:rFonts w:ascii="Times New Roman" w:hAnsi="Times New Roman" w:cs="Times New Roman"/>
                <w:sz w:val="24"/>
                <w:szCs w:val="21"/>
              </w:rPr>
              <w:t>0.</w:t>
            </w:r>
            <w:r>
              <w:rPr>
                <w:rFonts w:hint="eastAsia" w:ascii="Times New Roman" w:hAnsi="Times New Roman" w:cs="Times New Roman"/>
                <w:sz w:val="24"/>
                <w:szCs w:val="21"/>
              </w:rPr>
              <w:t>60</w:t>
            </w:r>
          </w:p>
        </w:tc>
        <w:tc>
          <w:tcPr>
            <w:tcW w:w="2464" w:type="dxa"/>
            <w:noWrap/>
            <w:vAlign w:val="center"/>
          </w:tcPr>
          <w:p>
            <w:pPr>
              <w:overflowPunct w:val="0"/>
              <w:jc w:val="center"/>
              <w:rPr>
                <w:rFonts w:hint="default" w:eastAsia="宋体"/>
                <w:sz w:val="24"/>
                <w:szCs w:val="21"/>
                <w:lang w:val="en-US" w:eastAsia="zh-CN"/>
              </w:rPr>
            </w:pPr>
            <w:r>
              <w:rPr>
                <w:rFonts w:ascii="Times New Roman" w:hAnsi="Times New Roman" w:eastAsia="宋体" w:cs="Times New Roman"/>
                <w:sz w:val="24"/>
                <w:szCs w:val="21"/>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463" w:type="dxa"/>
            <w:noWrap/>
            <w:vAlign w:val="center"/>
          </w:tcPr>
          <w:p>
            <w:pPr>
              <w:jc w:val="center"/>
              <w:rPr>
                <w:rFonts w:hint="eastAsia" w:eastAsia="宋体"/>
                <w:sz w:val="24"/>
                <w:szCs w:val="21"/>
                <w:lang w:eastAsia="zh-CN"/>
              </w:rPr>
            </w:pPr>
            <w:r>
              <w:rPr>
                <w:rFonts w:hint="eastAsia" w:ascii="宋体" w:hAnsi="宋体" w:cs="宋体"/>
                <w:lang w:val="en-US" w:eastAsia="zh-CN"/>
              </w:rPr>
              <w:t>⑤</w:t>
            </w:r>
          </w:p>
        </w:tc>
        <w:tc>
          <w:tcPr>
            <w:tcW w:w="2464" w:type="dxa"/>
            <w:noWrap/>
            <w:vAlign w:val="center"/>
          </w:tcPr>
          <w:p>
            <w:pPr>
              <w:jc w:val="center"/>
              <w:rPr>
                <w:rFonts w:hint="eastAsia" w:eastAsia="宋体"/>
                <w:sz w:val="24"/>
                <w:szCs w:val="21"/>
                <w:lang w:eastAsia="zh-CN"/>
              </w:rPr>
            </w:pPr>
            <w:r>
              <w:rPr>
                <w:rFonts w:hint="eastAsia"/>
                <w:szCs w:val="21"/>
                <w:lang w:eastAsia="zh-CN"/>
              </w:rPr>
              <w:t>全风化砂质泥岩</w:t>
            </w:r>
          </w:p>
        </w:tc>
        <w:tc>
          <w:tcPr>
            <w:tcW w:w="2464" w:type="dxa"/>
            <w:noWrap/>
            <w:vAlign w:val="center"/>
          </w:tcPr>
          <w:p>
            <w:pPr>
              <w:pStyle w:val="93"/>
              <w:spacing w:line="240" w:lineRule="auto"/>
              <w:rPr>
                <w:rFonts w:hint="eastAsia" w:eastAsia="宋体"/>
                <w:sz w:val="24"/>
                <w:szCs w:val="21"/>
                <w:lang w:eastAsia="zh-CN"/>
              </w:rPr>
            </w:pPr>
            <w:r>
              <w:rPr>
                <w:rFonts w:ascii="Times New Roman" w:hAnsi="Times New Roman" w:cs="Times New Roman" w:eastAsiaTheme="minorEastAsia"/>
                <w:sz w:val="24"/>
                <w:szCs w:val="21"/>
              </w:rPr>
              <w:t>0.70</w:t>
            </w:r>
          </w:p>
        </w:tc>
        <w:tc>
          <w:tcPr>
            <w:tcW w:w="2464" w:type="dxa"/>
            <w:noWrap/>
            <w:vAlign w:val="center"/>
          </w:tcPr>
          <w:p>
            <w:pPr>
              <w:overflowPunct w:val="0"/>
              <w:jc w:val="center"/>
              <w:rPr>
                <w:rFonts w:hint="default" w:eastAsia="宋体"/>
                <w:sz w:val="24"/>
                <w:szCs w:val="21"/>
                <w:lang w:val="en-US" w:eastAsia="zh-CN"/>
              </w:rPr>
            </w:pPr>
            <w:r>
              <w:rPr>
                <w:rFonts w:ascii="Times New Roman" w:hAnsi="Times New Roman" w:eastAsia="宋体" w:cs="Times New Roman"/>
                <w:sz w:val="24"/>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463" w:type="dxa"/>
            <w:noWrap/>
            <w:vAlign w:val="center"/>
          </w:tcPr>
          <w:p>
            <w:pPr>
              <w:jc w:val="center"/>
              <w:rPr>
                <w:rFonts w:hint="eastAsia" w:ascii="宋体" w:hAnsi="宋体" w:eastAsia="宋体" w:cs="宋体"/>
                <w:lang w:val="en-US" w:eastAsia="zh-CN"/>
              </w:rPr>
            </w:pPr>
            <w:r>
              <w:rPr>
                <w:rFonts w:hint="eastAsia" w:ascii="宋体" w:hAnsi="宋体" w:cs="宋体"/>
                <w:lang w:val="en-US" w:eastAsia="zh-CN"/>
              </w:rPr>
              <w:t>⑥</w:t>
            </w:r>
          </w:p>
        </w:tc>
        <w:tc>
          <w:tcPr>
            <w:tcW w:w="2464" w:type="dxa"/>
            <w:noWrap/>
            <w:vAlign w:val="center"/>
          </w:tcPr>
          <w:p>
            <w:pPr>
              <w:jc w:val="center"/>
              <w:rPr>
                <w:rFonts w:hint="eastAsia" w:eastAsia="宋体"/>
                <w:szCs w:val="21"/>
                <w:lang w:eastAsia="zh-CN"/>
              </w:rPr>
            </w:pPr>
            <w:r>
              <w:rPr>
                <w:rFonts w:hint="eastAsia"/>
                <w:szCs w:val="21"/>
                <w:lang w:eastAsia="zh-CN"/>
              </w:rPr>
              <w:t>强风化砂质泥岩</w:t>
            </w:r>
          </w:p>
        </w:tc>
        <w:tc>
          <w:tcPr>
            <w:tcW w:w="2464" w:type="dxa"/>
            <w:noWrap/>
            <w:vAlign w:val="center"/>
          </w:tcPr>
          <w:p>
            <w:pPr>
              <w:pStyle w:val="93"/>
              <w:spacing w:line="240" w:lineRule="auto"/>
              <w:rPr>
                <w:rFonts w:hint="default"/>
                <w:sz w:val="24"/>
                <w:szCs w:val="21"/>
                <w:lang w:val="en-US" w:eastAsia="zh-CN"/>
              </w:rPr>
            </w:pPr>
            <w:r>
              <w:rPr>
                <w:rFonts w:ascii="Times New Roman" w:hAnsi="Times New Roman" w:cs="Times New Roman" w:eastAsiaTheme="minorEastAsia"/>
                <w:sz w:val="24"/>
                <w:szCs w:val="21"/>
              </w:rPr>
              <w:t>0.70</w:t>
            </w:r>
          </w:p>
        </w:tc>
        <w:tc>
          <w:tcPr>
            <w:tcW w:w="2464" w:type="dxa"/>
            <w:noWrap/>
            <w:vAlign w:val="center"/>
          </w:tcPr>
          <w:p>
            <w:pPr>
              <w:overflowPunct w:val="0"/>
              <w:jc w:val="center"/>
              <w:rPr>
                <w:rFonts w:hint="default"/>
                <w:sz w:val="24"/>
                <w:szCs w:val="21"/>
                <w:lang w:val="en-US" w:eastAsia="zh-CN"/>
              </w:rPr>
            </w:pPr>
            <w:r>
              <w:rPr>
                <w:rFonts w:hint="eastAsia" w:ascii="Times New Roman" w:hAnsi="Times New Roman" w:cs="Times New Roman"/>
                <w:sz w:val="24"/>
                <w:szCs w:val="21"/>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463" w:type="dxa"/>
            <w:noWrap/>
            <w:vAlign w:val="center"/>
          </w:tcPr>
          <w:p>
            <w:pPr>
              <w:jc w:val="center"/>
              <w:rPr>
                <w:rFonts w:hint="eastAsia" w:ascii="宋体" w:hAnsi="宋体" w:eastAsia="宋体" w:cs="宋体"/>
                <w:lang w:val="en-US" w:eastAsia="zh-CN"/>
              </w:rPr>
            </w:pPr>
            <w:r>
              <w:rPr>
                <w:rFonts w:hint="eastAsia" w:ascii="宋体" w:hAnsi="宋体" w:cs="宋体"/>
                <w:lang w:val="en-US" w:eastAsia="zh-CN"/>
              </w:rPr>
              <w:t>⑦</w:t>
            </w:r>
          </w:p>
        </w:tc>
        <w:tc>
          <w:tcPr>
            <w:tcW w:w="2464" w:type="dxa"/>
            <w:noWrap/>
            <w:vAlign w:val="center"/>
          </w:tcPr>
          <w:p>
            <w:pPr>
              <w:jc w:val="center"/>
              <w:rPr>
                <w:rFonts w:hint="eastAsia" w:eastAsia="宋体"/>
                <w:szCs w:val="21"/>
                <w:lang w:eastAsia="zh-CN"/>
              </w:rPr>
            </w:pPr>
            <w:r>
              <w:rPr>
                <w:rFonts w:hint="eastAsia"/>
                <w:szCs w:val="21"/>
                <w:lang w:eastAsia="zh-CN"/>
              </w:rPr>
              <w:t>中等风化砂质泥岩</w:t>
            </w:r>
          </w:p>
        </w:tc>
        <w:tc>
          <w:tcPr>
            <w:tcW w:w="2464" w:type="dxa"/>
            <w:noWrap/>
            <w:vAlign w:val="center"/>
          </w:tcPr>
          <w:p>
            <w:pPr>
              <w:pStyle w:val="93"/>
              <w:spacing w:line="240" w:lineRule="auto"/>
              <w:rPr>
                <w:rFonts w:hint="default"/>
                <w:sz w:val="24"/>
                <w:szCs w:val="21"/>
                <w:lang w:val="en-US" w:eastAsia="zh-CN"/>
              </w:rPr>
            </w:pPr>
            <w:r>
              <w:rPr>
                <w:rFonts w:ascii="Times New Roman" w:hAnsi="Times New Roman" w:cs="Times New Roman" w:eastAsiaTheme="minorEastAsia"/>
                <w:sz w:val="24"/>
                <w:szCs w:val="21"/>
              </w:rPr>
              <w:t>0.80</w:t>
            </w:r>
          </w:p>
        </w:tc>
        <w:tc>
          <w:tcPr>
            <w:tcW w:w="2464" w:type="dxa"/>
            <w:noWrap/>
            <w:vAlign w:val="center"/>
          </w:tcPr>
          <w:p>
            <w:pPr>
              <w:overflowPunct w:val="0"/>
              <w:jc w:val="center"/>
              <w:rPr>
                <w:rFonts w:hint="default"/>
                <w:sz w:val="24"/>
                <w:szCs w:val="21"/>
                <w:lang w:val="en-US" w:eastAsia="zh-CN"/>
              </w:rPr>
            </w:pPr>
            <w:r>
              <w:rPr>
                <w:rFonts w:hint="eastAsia" w:cs="Times New Roman"/>
                <w:sz w:val="24"/>
                <w:szCs w:val="21"/>
                <w:lang w:val="en-US" w:eastAsia="zh-CN"/>
              </w:rPr>
              <w:t>140</w:t>
            </w:r>
          </w:p>
        </w:tc>
      </w:tr>
    </w:tbl>
    <w:p>
      <w:pPr>
        <w:overflowPunct w:val="0"/>
        <w:ind w:left="1005" w:leftChars="250" w:hanging="480" w:hangingChars="200"/>
        <w:jc w:val="left"/>
        <w:rPr>
          <w:sz w:val="24"/>
          <w:szCs w:val="21"/>
        </w:rPr>
      </w:pPr>
      <w:r>
        <w:rPr>
          <w:rFonts w:hint="eastAsia"/>
          <w:sz w:val="24"/>
          <w:szCs w:val="21"/>
        </w:rPr>
        <w:t>注：</w:t>
      </w:r>
      <w:r>
        <w:rPr>
          <w:b/>
          <w:sz w:val="24"/>
          <w:szCs w:val="21"/>
        </w:rPr>
        <w:t>1</w:t>
      </w:r>
      <w:r>
        <w:rPr>
          <w:rFonts w:hint="eastAsia"/>
          <w:sz w:val="24"/>
          <w:szCs w:val="21"/>
        </w:rPr>
        <w:t>表中粘结强度特征值适用于注浆强度等级为</w:t>
      </w:r>
      <w:r>
        <w:rPr>
          <w:sz w:val="24"/>
          <w:szCs w:val="21"/>
        </w:rPr>
        <w:t>M30</w:t>
      </w:r>
      <w:r>
        <w:rPr>
          <w:rFonts w:hint="eastAsia"/>
          <w:sz w:val="24"/>
          <w:szCs w:val="21"/>
        </w:rPr>
        <w:t>；</w:t>
      </w:r>
    </w:p>
    <w:p>
      <w:pPr>
        <w:overflowPunct w:val="0"/>
        <w:ind w:left="1427" w:leftChars="450" w:hanging="482" w:hangingChars="200"/>
        <w:jc w:val="left"/>
        <w:rPr>
          <w:sz w:val="24"/>
          <w:szCs w:val="21"/>
        </w:rPr>
      </w:pPr>
      <w:r>
        <w:rPr>
          <w:b/>
          <w:sz w:val="24"/>
          <w:szCs w:val="21"/>
        </w:rPr>
        <w:t xml:space="preserve">2 </w:t>
      </w:r>
      <w:r>
        <w:rPr>
          <w:rFonts w:hint="eastAsia"/>
          <w:sz w:val="24"/>
          <w:szCs w:val="21"/>
        </w:rPr>
        <w:t>表中粘结强度特征值仅适用于初步设计，施工时应通过试验检验。</w:t>
      </w:r>
    </w:p>
    <w:p>
      <w:pPr>
        <w:spacing w:line="360" w:lineRule="auto"/>
        <w:ind w:firstLine="480" w:firstLineChars="200"/>
        <w:rPr>
          <w:sz w:val="24"/>
          <w:lang w:val="zh-CN"/>
        </w:rPr>
      </w:pPr>
      <w:r>
        <w:rPr>
          <w:rFonts w:hint="eastAsia"/>
          <w:sz w:val="24"/>
          <w:lang w:val="zh-CN"/>
        </w:rPr>
        <w:t>抗浮桩和抗浮锚杆的抗拔承载力应通过现场抗拔静载荷试验确定。抗拔静载荷试验及抗拔承载力取值应符合《建筑基桩检测技术规范》</w:t>
      </w:r>
      <w:r>
        <w:rPr>
          <w:sz w:val="24"/>
          <w:lang w:val="zh-CN"/>
        </w:rPr>
        <w:t xml:space="preserve"> JGJ 106-2014</w:t>
      </w:r>
      <w:r>
        <w:rPr>
          <w:rFonts w:hint="eastAsia"/>
          <w:sz w:val="24"/>
          <w:lang w:val="zh-CN"/>
        </w:rPr>
        <w:t>和《建筑地基基础设计规范》</w:t>
      </w:r>
      <w:r>
        <w:rPr>
          <w:sz w:val="24"/>
          <w:lang w:val="zh-CN"/>
        </w:rPr>
        <w:t xml:space="preserve"> GB 50007-2011</w:t>
      </w:r>
      <w:r>
        <w:rPr>
          <w:rFonts w:hint="eastAsia"/>
          <w:sz w:val="24"/>
          <w:lang w:val="zh-CN"/>
        </w:rPr>
        <w:t>等相关规范的要求。</w:t>
      </w:r>
    </w:p>
    <w:p>
      <w:pPr>
        <w:spacing w:line="360" w:lineRule="auto"/>
        <w:ind w:firstLine="480" w:firstLineChars="200"/>
        <w:rPr>
          <w:sz w:val="24"/>
          <w:highlight w:val="yellow"/>
        </w:rPr>
      </w:pPr>
      <w:r>
        <w:rPr>
          <w:rFonts w:hint="eastAsia"/>
          <w:sz w:val="24"/>
          <w:highlight w:val="none"/>
        </w:rPr>
        <w:t>由于在拟建建筑物施工期间，基坑开挖深度已达设计标准，而抗浮荷载未完全到位，在遭遇到大暴雨、大水倒灌基坑等特殊情况时，可能发生地下室漂浮情况，建议建筑物施工时应提前做好应急排水措施。</w:t>
      </w:r>
    </w:p>
    <w:p>
      <w:pPr>
        <w:pStyle w:val="2"/>
        <w:keepNext w:val="0"/>
        <w:keepLines w:val="0"/>
        <w:numPr>
          <w:ilvl w:val="0"/>
          <w:numId w:val="2"/>
        </w:numPr>
        <w:spacing w:before="0" w:after="0" w:line="720" w:lineRule="auto"/>
        <w:jc w:val="left"/>
        <w:rPr>
          <w:rFonts w:eastAsia="黑体"/>
          <w:sz w:val="28"/>
        </w:rPr>
      </w:pPr>
      <w:bookmarkStart w:id="43" w:name="_Toc10468534"/>
      <w:r>
        <w:rPr>
          <w:rFonts w:hint="eastAsia" w:eastAsia="黑体"/>
          <w:sz w:val="28"/>
        </w:rPr>
        <w:t>基坑边坡稳定性评价</w:t>
      </w:r>
      <w:bookmarkEnd w:id="43"/>
    </w:p>
    <w:p>
      <w:pPr>
        <w:spacing w:line="360" w:lineRule="auto"/>
        <w:rPr>
          <w:sz w:val="24"/>
        </w:rPr>
      </w:pPr>
      <w:r>
        <w:rPr>
          <w:b/>
          <w:sz w:val="24"/>
        </w:rPr>
        <w:t>6.1.</w:t>
      </w:r>
      <w:r>
        <w:rPr>
          <w:rFonts w:hint="eastAsia"/>
        </w:rPr>
        <w:t xml:space="preserve"> </w:t>
      </w:r>
      <w:r>
        <w:rPr>
          <w:rFonts w:hint="eastAsia"/>
          <w:sz w:val="24"/>
        </w:rPr>
        <w:t>根据住房和城乡建设部办公厅建办质[2018]31号文（关于实施《危险性较大的分部分项工程安全管理规定》有关问题的通知）规定，拟建工程设有1层地下室，基础</w:t>
      </w:r>
      <w:r>
        <w:rPr>
          <w:rFonts w:hint="eastAsia"/>
          <w:sz w:val="24"/>
          <w:lang w:val="en-US" w:eastAsia="zh-CN"/>
        </w:rPr>
        <w:t>最大</w:t>
      </w:r>
      <w:r>
        <w:rPr>
          <w:rFonts w:hint="eastAsia"/>
          <w:sz w:val="24"/>
        </w:rPr>
        <w:t>埋深约为</w:t>
      </w:r>
      <w:r>
        <w:rPr>
          <w:rFonts w:hint="eastAsia"/>
          <w:sz w:val="24"/>
          <w:lang w:val="en-US" w:eastAsia="zh-CN"/>
        </w:rPr>
        <w:t>6.0</w:t>
      </w:r>
      <w:r>
        <w:rPr>
          <w:rFonts w:hint="eastAsia"/>
          <w:sz w:val="24"/>
        </w:rPr>
        <w:t>0m，基坑工程属危险性较大的分部分项工程。本工程2倍基坑深度范围内无其他建筑物，根据周边环境及基坑开挖深度，依据相关规范，此基坑为二级基坑。</w:t>
      </w:r>
    </w:p>
    <w:p>
      <w:pPr>
        <w:spacing w:line="360" w:lineRule="auto"/>
        <w:ind w:firstLine="480" w:firstLineChars="200"/>
        <w:rPr>
          <w:sz w:val="24"/>
        </w:rPr>
      </w:pPr>
      <w:r>
        <w:rPr>
          <w:rFonts w:hint="eastAsia"/>
          <w:sz w:val="24"/>
        </w:rPr>
        <w:t>基坑开挖深度内主要为松散的</w:t>
      </w:r>
      <w:r>
        <w:rPr>
          <w:rFonts w:hint="eastAsia"/>
          <w:sz w:val="24"/>
          <w:lang w:eastAsia="zh-CN"/>
        </w:rPr>
        <w:t>杂</w:t>
      </w:r>
      <w:r>
        <w:rPr>
          <w:rFonts w:hint="eastAsia"/>
          <w:sz w:val="24"/>
        </w:rPr>
        <w:t>填土</w:t>
      </w:r>
      <w:r>
        <w:rPr>
          <w:rFonts w:hint="eastAsia"/>
          <w:sz w:val="24"/>
          <w:lang w:eastAsia="zh-CN"/>
        </w:rPr>
        <w:t>、可塑状态</w:t>
      </w:r>
      <w:r>
        <w:rPr>
          <w:rFonts w:hint="eastAsia"/>
          <w:sz w:val="24"/>
          <w:lang w:val="en-US" w:eastAsia="zh-CN"/>
        </w:rPr>
        <w:t>-软塑状态的粉质黏土，</w:t>
      </w:r>
      <w:r>
        <w:rPr>
          <w:rFonts w:hint="eastAsia"/>
          <w:sz w:val="24"/>
        </w:rPr>
        <w:t>土层自稳能力差。基坑支护可采用放坡、土钉墙支护措施，若场地无放坡条件，可采用桩锚垂直支护措施。</w:t>
      </w:r>
    </w:p>
    <w:p>
      <w:pPr>
        <w:spacing w:line="360" w:lineRule="auto"/>
        <w:ind w:firstLine="480" w:firstLineChars="200"/>
        <w:rPr>
          <w:b/>
          <w:sz w:val="24"/>
        </w:rPr>
      </w:pPr>
      <w:r>
        <w:rPr>
          <w:rFonts w:hint="eastAsia"/>
          <w:sz w:val="24"/>
        </w:rPr>
        <w:t>基坑施工前应编制安全专项施工方案。</w:t>
      </w:r>
    </w:p>
    <w:p>
      <w:pPr>
        <w:spacing w:line="360" w:lineRule="auto"/>
        <w:ind w:firstLine="480" w:firstLineChars="200"/>
      </w:pPr>
      <w:r>
        <w:rPr>
          <w:rFonts w:hint="eastAsia"/>
          <w:sz w:val="24"/>
        </w:rPr>
        <w:t>基坑开挖及支护设计参数标准值参见</w:t>
      </w:r>
      <w:r>
        <w:rPr>
          <w:sz w:val="24"/>
        </w:rPr>
        <w:t>表</w:t>
      </w:r>
      <w:r>
        <w:rPr>
          <w:rFonts w:hint="eastAsia"/>
          <w:sz w:val="24"/>
        </w:rPr>
        <w:t>9，须结合设计施工经验及本工程项目基坑边坡支护结构的选型综合确定设计参数。</w:t>
      </w:r>
    </w:p>
    <w:p>
      <w:pPr>
        <w:pStyle w:val="56"/>
        <w:spacing w:line="360" w:lineRule="auto"/>
        <w:ind w:firstLine="480"/>
        <w:jc w:val="center"/>
        <w:rPr>
          <w:rFonts w:ascii="Times New Roman" w:hAnsi="Times New Roman" w:cs="Times New Roman"/>
          <w:sz w:val="24"/>
          <w:szCs w:val="24"/>
          <w:lang w:val="en-US"/>
        </w:rPr>
      </w:pPr>
      <w:r>
        <w:rPr>
          <w:rFonts w:ascii="Times New Roman" w:hAnsi="Times New Roman" w:cs="Times New Roman"/>
          <w:sz w:val="24"/>
          <w:szCs w:val="24"/>
          <w:lang w:val="en-US"/>
        </w:rPr>
        <w:t>表</w:t>
      </w:r>
      <w:r>
        <w:rPr>
          <w:rFonts w:hint="eastAsia" w:ascii="Times New Roman" w:hAnsi="Times New Roman" w:cs="Times New Roman"/>
          <w:sz w:val="24"/>
          <w:szCs w:val="24"/>
          <w:lang w:val="en-US"/>
        </w:rPr>
        <w:t>9</w:t>
      </w:r>
      <w:r>
        <w:rPr>
          <w:rFonts w:ascii="Times New Roman" w:hAnsi="Times New Roman" w:cs="Times New Roman"/>
          <w:sz w:val="24"/>
          <w:szCs w:val="24"/>
          <w:lang w:val="en-US"/>
        </w:rPr>
        <w:t xml:space="preserve">  基坑开挖及支护设计参数</w:t>
      </w:r>
    </w:p>
    <w:tbl>
      <w:tblPr>
        <w:tblStyle w:val="13"/>
        <w:tblW w:w="96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4"/>
        <w:gridCol w:w="2205"/>
        <w:gridCol w:w="1995"/>
        <w:gridCol w:w="1680"/>
        <w:gridCol w:w="1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894" w:type="dxa"/>
            <w:vMerge w:val="restart"/>
            <w:vAlign w:val="center"/>
          </w:tcPr>
          <w:p>
            <w:pPr>
              <w:jc w:val="center"/>
              <w:rPr>
                <w:szCs w:val="21"/>
              </w:rPr>
            </w:pPr>
            <w:r>
              <w:rPr>
                <w:rFonts w:hint="eastAsia"/>
                <w:szCs w:val="21"/>
              </w:rPr>
              <w:t>岩土层号</w:t>
            </w:r>
          </w:p>
        </w:tc>
        <w:tc>
          <w:tcPr>
            <w:tcW w:w="2205" w:type="dxa"/>
            <w:vMerge w:val="restart"/>
            <w:vAlign w:val="center"/>
          </w:tcPr>
          <w:p>
            <w:pPr>
              <w:jc w:val="center"/>
              <w:rPr>
                <w:szCs w:val="21"/>
              </w:rPr>
            </w:pPr>
            <w:r>
              <w:rPr>
                <w:rFonts w:hint="eastAsia"/>
                <w:szCs w:val="21"/>
              </w:rPr>
              <w:t>岩土名称</w:t>
            </w:r>
          </w:p>
        </w:tc>
        <w:tc>
          <w:tcPr>
            <w:tcW w:w="1995" w:type="dxa"/>
            <w:vAlign w:val="center"/>
          </w:tcPr>
          <w:p>
            <w:pPr>
              <w:jc w:val="center"/>
              <w:rPr>
                <w:szCs w:val="21"/>
              </w:rPr>
            </w:pPr>
            <w:r>
              <w:rPr>
                <w:rFonts w:hint="eastAsia"/>
                <w:szCs w:val="21"/>
              </w:rPr>
              <w:t>重力密度</w:t>
            </w:r>
          </w:p>
        </w:tc>
        <w:tc>
          <w:tcPr>
            <w:tcW w:w="3570" w:type="dxa"/>
            <w:gridSpan w:val="2"/>
            <w:vAlign w:val="center"/>
          </w:tcPr>
          <w:p>
            <w:pPr>
              <w:jc w:val="center"/>
              <w:rPr>
                <w:szCs w:val="21"/>
              </w:rPr>
            </w:pPr>
            <w:r>
              <w:rPr>
                <w:rFonts w:hint="eastAsia"/>
                <w:szCs w:val="21"/>
                <w:lang w:eastAsia="zh-CN"/>
              </w:rPr>
              <w:t>直剪</w:t>
            </w:r>
            <w:r>
              <w:rPr>
                <w:rFonts w:hint="eastAsia"/>
                <w:szCs w:val="21"/>
              </w:rPr>
              <w:t>剪切试验(标准值)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894" w:type="dxa"/>
            <w:vMerge w:val="continue"/>
            <w:vAlign w:val="center"/>
          </w:tcPr>
          <w:p>
            <w:pPr>
              <w:jc w:val="center"/>
              <w:rPr>
                <w:szCs w:val="21"/>
              </w:rPr>
            </w:pPr>
          </w:p>
        </w:tc>
        <w:tc>
          <w:tcPr>
            <w:tcW w:w="2205" w:type="dxa"/>
            <w:vMerge w:val="continue"/>
            <w:vAlign w:val="center"/>
          </w:tcPr>
          <w:p>
            <w:pPr>
              <w:jc w:val="center"/>
              <w:rPr>
                <w:szCs w:val="21"/>
              </w:rPr>
            </w:pPr>
          </w:p>
        </w:tc>
        <w:tc>
          <w:tcPr>
            <w:tcW w:w="1995" w:type="dxa"/>
            <w:vAlign w:val="center"/>
          </w:tcPr>
          <w:p>
            <w:pPr>
              <w:jc w:val="center"/>
              <w:rPr>
                <w:szCs w:val="21"/>
              </w:rPr>
            </w:pPr>
            <w:r>
              <w:rPr>
                <w:rFonts w:hint="eastAsia"/>
                <w:szCs w:val="21"/>
              </w:rPr>
              <w:t>γ(kN/m3)</w:t>
            </w:r>
          </w:p>
        </w:tc>
        <w:tc>
          <w:tcPr>
            <w:tcW w:w="1680" w:type="dxa"/>
            <w:vAlign w:val="center"/>
          </w:tcPr>
          <w:p>
            <w:pPr>
              <w:jc w:val="center"/>
              <w:rPr>
                <w:szCs w:val="21"/>
              </w:rPr>
            </w:pPr>
            <w:r>
              <w:rPr>
                <w:rFonts w:hint="eastAsia"/>
                <w:szCs w:val="21"/>
              </w:rPr>
              <w:t>C值(K</w:t>
            </w:r>
            <w:r>
              <w:rPr>
                <w:szCs w:val="21"/>
              </w:rPr>
              <w:t>p</w:t>
            </w:r>
            <w:r>
              <w:rPr>
                <w:rFonts w:hint="eastAsia"/>
                <w:szCs w:val="21"/>
              </w:rPr>
              <w:t>a)</w:t>
            </w:r>
          </w:p>
        </w:tc>
        <w:tc>
          <w:tcPr>
            <w:tcW w:w="1890" w:type="dxa"/>
            <w:vAlign w:val="center"/>
          </w:tcPr>
          <w:p>
            <w:pPr>
              <w:jc w:val="center"/>
              <w:rPr>
                <w:szCs w:val="21"/>
              </w:rPr>
            </w:pPr>
            <w:r>
              <w:rPr>
                <w:rFonts w:hint="eastAsia"/>
                <w:szCs w:val="21"/>
              </w:rPr>
              <w:t>Φ值（º）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894" w:type="dxa"/>
            <w:vAlign w:val="center"/>
          </w:tcPr>
          <w:p>
            <w:pPr>
              <w:jc w:val="center"/>
              <w:rPr>
                <w:szCs w:val="21"/>
              </w:rPr>
            </w:pPr>
            <w:r>
              <w:rPr>
                <w:rFonts w:hint="eastAsia"/>
                <w:szCs w:val="21"/>
              </w:rPr>
              <w:t>①</w:t>
            </w:r>
          </w:p>
        </w:tc>
        <w:tc>
          <w:tcPr>
            <w:tcW w:w="2205" w:type="dxa"/>
            <w:vAlign w:val="center"/>
          </w:tcPr>
          <w:p>
            <w:pPr>
              <w:jc w:val="center"/>
              <w:rPr>
                <w:szCs w:val="21"/>
              </w:rPr>
            </w:pPr>
            <w:r>
              <w:rPr>
                <w:rFonts w:hint="eastAsia"/>
                <w:szCs w:val="21"/>
                <w:lang w:eastAsia="zh-CN"/>
              </w:rPr>
              <w:t>杂</w:t>
            </w:r>
            <w:r>
              <w:rPr>
                <w:rFonts w:hint="eastAsia"/>
                <w:szCs w:val="21"/>
              </w:rPr>
              <w:t>填土</w:t>
            </w:r>
          </w:p>
        </w:tc>
        <w:tc>
          <w:tcPr>
            <w:tcW w:w="1995" w:type="dxa"/>
            <w:vAlign w:val="center"/>
          </w:tcPr>
          <w:p>
            <w:pPr>
              <w:jc w:val="center"/>
              <w:rPr>
                <w:szCs w:val="21"/>
              </w:rPr>
            </w:pPr>
            <w:r>
              <w:rPr>
                <w:rFonts w:hint="eastAsia"/>
                <w:szCs w:val="21"/>
              </w:rPr>
              <w:t>(17.0)</w:t>
            </w:r>
          </w:p>
        </w:tc>
        <w:tc>
          <w:tcPr>
            <w:tcW w:w="1680" w:type="dxa"/>
            <w:vAlign w:val="center"/>
          </w:tcPr>
          <w:p>
            <w:pPr>
              <w:jc w:val="center"/>
              <w:rPr>
                <w:szCs w:val="21"/>
              </w:rPr>
            </w:pPr>
            <w:r>
              <w:rPr>
                <w:rFonts w:hint="eastAsia"/>
                <w:szCs w:val="21"/>
              </w:rPr>
              <w:t>(</w:t>
            </w:r>
            <w:r>
              <w:rPr>
                <w:rFonts w:hint="eastAsia"/>
                <w:szCs w:val="21"/>
                <w:lang w:val="en-US" w:eastAsia="zh-CN"/>
              </w:rPr>
              <w:t>8</w:t>
            </w:r>
            <w:r>
              <w:rPr>
                <w:rFonts w:hint="eastAsia"/>
                <w:szCs w:val="21"/>
              </w:rPr>
              <w:t>.0)</w:t>
            </w:r>
          </w:p>
        </w:tc>
        <w:tc>
          <w:tcPr>
            <w:tcW w:w="1890" w:type="dxa"/>
            <w:vAlign w:val="center"/>
          </w:tcPr>
          <w:p>
            <w:pPr>
              <w:jc w:val="center"/>
              <w:rPr>
                <w:szCs w:val="21"/>
              </w:rPr>
            </w:pPr>
            <w:r>
              <w:rPr>
                <w:rFonts w:hint="eastAsia"/>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894" w:type="dxa"/>
            <w:vAlign w:val="center"/>
          </w:tcPr>
          <w:p>
            <w:pPr>
              <w:jc w:val="center"/>
              <w:rPr>
                <w:szCs w:val="21"/>
              </w:rPr>
            </w:pPr>
            <w:r>
              <w:rPr>
                <w:rFonts w:hint="eastAsia" w:ascii="宋体" w:hAnsi="宋体"/>
                <w:szCs w:val="21"/>
              </w:rPr>
              <w:t>②</w:t>
            </w:r>
          </w:p>
        </w:tc>
        <w:tc>
          <w:tcPr>
            <w:tcW w:w="2205" w:type="dxa"/>
            <w:vAlign w:val="center"/>
          </w:tcPr>
          <w:p>
            <w:pPr>
              <w:jc w:val="center"/>
              <w:rPr>
                <w:rFonts w:hint="eastAsia"/>
                <w:szCs w:val="21"/>
              </w:rPr>
            </w:pPr>
            <w:r>
              <w:rPr>
                <w:rFonts w:hint="eastAsia"/>
                <w:szCs w:val="21"/>
              </w:rPr>
              <w:t>粉质黏土</w:t>
            </w:r>
          </w:p>
        </w:tc>
        <w:tc>
          <w:tcPr>
            <w:tcW w:w="1995" w:type="dxa"/>
            <w:vAlign w:val="center"/>
          </w:tcPr>
          <w:p>
            <w:pPr>
              <w:jc w:val="center"/>
              <w:rPr>
                <w:rFonts w:hint="default" w:eastAsia="宋体"/>
                <w:szCs w:val="21"/>
                <w:lang w:val="en-US" w:eastAsia="zh-CN"/>
              </w:rPr>
            </w:pPr>
            <w:r>
              <w:rPr>
                <w:rFonts w:hint="eastAsia"/>
                <w:szCs w:val="21"/>
                <w:lang w:val="en-US" w:eastAsia="zh-CN"/>
              </w:rPr>
              <w:t>19.0</w:t>
            </w:r>
          </w:p>
        </w:tc>
        <w:tc>
          <w:tcPr>
            <w:tcW w:w="1680" w:type="dxa"/>
            <w:vAlign w:val="center"/>
          </w:tcPr>
          <w:p>
            <w:pPr>
              <w:jc w:val="center"/>
              <w:rPr>
                <w:rFonts w:hint="default"/>
                <w:szCs w:val="21"/>
                <w:lang w:val="en-US" w:eastAsia="zh-CN"/>
              </w:rPr>
            </w:pPr>
            <w:r>
              <w:rPr>
                <w:rFonts w:hint="eastAsia"/>
                <w:szCs w:val="21"/>
                <w:lang w:val="en-US" w:eastAsia="zh-CN"/>
              </w:rPr>
              <w:t>21.1</w:t>
            </w:r>
          </w:p>
        </w:tc>
        <w:tc>
          <w:tcPr>
            <w:tcW w:w="1890" w:type="dxa"/>
            <w:vAlign w:val="center"/>
          </w:tcPr>
          <w:p>
            <w:pPr>
              <w:jc w:val="center"/>
              <w:rPr>
                <w:rFonts w:hint="default"/>
                <w:szCs w:val="21"/>
                <w:lang w:val="en-US" w:eastAsia="zh-CN"/>
              </w:rPr>
            </w:pPr>
            <w:r>
              <w:rPr>
                <w:rFonts w:hint="eastAsia"/>
                <w:szCs w:val="21"/>
                <w:lang w:val="en-US" w:eastAsia="zh-CN"/>
              </w:rPr>
              <w:t>18.2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894" w:type="dxa"/>
            <w:vAlign w:val="center"/>
          </w:tcPr>
          <w:p>
            <w:pPr>
              <w:jc w:val="center"/>
              <w:rPr>
                <w:szCs w:val="21"/>
              </w:rPr>
            </w:pPr>
            <w:r>
              <w:rPr>
                <w:rFonts w:hint="eastAsia"/>
                <w:szCs w:val="21"/>
              </w:rPr>
              <w:t>③</w:t>
            </w:r>
          </w:p>
        </w:tc>
        <w:tc>
          <w:tcPr>
            <w:tcW w:w="2205" w:type="dxa"/>
            <w:vAlign w:val="center"/>
          </w:tcPr>
          <w:p>
            <w:pPr>
              <w:jc w:val="center"/>
              <w:rPr>
                <w:rFonts w:hint="eastAsia"/>
                <w:szCs w:val="21"/>
              </w:rPr>
            </w:pPr>
            <w:r>
              <w:rPr>
                <w:rFonts w:hint="eastAsia"/>
                <w:szCs w:val="21"/>
              </w:rPr>
              <w:t>粉质黏土</w:t>
            </w:r>
          </w:p>
        </w:tc>
        <w:tc>
          <w:tcPr>
            <w:tcW w:w="1995" w:type="dxa"/>
            <w:vAlign w:val="center"/>
          </w:tcPr>
          <w:p>
            <w:pPr>
              <w:jc w:val="center"/>
              <w:rPr>
                <w:rFonts w:hint="default" w:eastAsia="宋体"/>
                <w:szCs w:val="21"/>
                <w:lang w:val="en-US" w:eastAsia="zh-CN"/>
              </w:rPr>
            </w:pPr>
            <w:r>
              <w:rPr>
                <w:rFonts w:hint="eastAsia"/>
                <w:szCs w:val="21"/>
                <w:lang w:val="en-US" w:eastAsia="zh-CN"/>
              </w:rPr>
              <w:t>18.6</w:t>
            </w:r>
          </w:p>
        </w:tc>
        <w:tc>
          <w:tcPr>
            <w:tcW w:w="1680" w:type="dxa"/>
            <w:vAlign w:val="center"/>
          </w:tcPr>
          <w:p>
            <w:pPr>
              <w:jc w:val="center"/>
              <w:rPr>
                <w:rFonts w:hint="default"/>
                <w:szCs w:val="21"/>
                <w:lang w:val="en-US" w:eastAsia="zh-CN"/>
              </w:rPr>
            </w:pPr>
            <w:r>
              <w:rPr>
                <w:rFonts w:hint="eastAsia"/>
                <w:szCs w:val="21"/>
                <w:lang w:val="en-US" w:eastAsia="zh-CN"/>
              </w:rPr>
              <w:t>16.6</w:t>
            </w:r>
          </w:p>
        </w:tc>
        <w:tc>
          <w:tcPr>
            <w:tcW w:w="1890" w:type="dxa"/>
            <w:vAlign w:val="center"/>
          </w:tcPr>
          <w:p>
            <w:pPr>
              <w:jc w:val="center"/>
              <w:rPr>
                <w:rFonts w:hint="default"/>
                <w:szCs w:val="21"/>
                <w:lang w:val="en-US" w:eastAsia="zh-CN"/>
              </w:rPr>
            </w:pPr>
            <w:r>
              <w:rPr>
                <w:rFonts w:hint="eastAsia"/>
                <w:szCs w:val="21"/>
                <w:lang w:val="en-US" w:eastAsia="zh-CN"/>
              </w:rPr>
              <w:t>15.7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894" w:type="dxa"/>
            <w:vAlign w:val="center"/>
          </w:tcPr>
          <w:p>
            <w:pPr>
              <w:jc w:val="center"/>
              <w:rPr>
                <w:szCs w:val="21"/>
              </w:rPr>
            </w:pPr>
            <w:r>
              <w:rPr>
                <w:rFonts w:hint="eastAsia"/>
                <w:szCs w:val="21"/>
              </w:rPr>
              <w:t>④</w:t>
            </w:r>
          </w:p>
        </w:tc>
        <w:tc>
          <w:tcPr>
            <w:tcW w:w="2205" w:type="dxa"/>
            <w:vAlign w:val="center"/>
          </w:tcPr>
          <w:p>
            <w:pPr>
              <w:jc w:val="center"/>
              <w:rPr>
                <w:rFonts w:hint="eastAsia" w:eastAsia="宋体"/>
                <w:szCs w:val="21"/>
                <w:lang w:eastAsia="zh-CN"/>
              </w:rPr>
            </w:pPr>
            <w:r>
              <w:rPr>
                <w:rFonts w:hint="eastAsia"/>
                <w:szCs w:val="21"/>
                <w:lang w:eastAsia="zh-CN"/>
              </w:rPr>
              <w:t>粗砂</w:t>
            </w:r>
          </w:p>
        </w:tc>
        <w:tc>
          <w:tcPr>
            <w:tcW w:w="1995" w:type="dxa"/>
            <w:vAlign w:val="center"/>
          </w:tcPr>
          <w:p>
            <w:pPr>
              <w:jc w:val="center"/>
              <w:rPr>
                <w:szCs w:val="21"/>
              </w:rPr>
            </w:pPr>
            <w:r>
              <w:rPr>
                <w:rFonts w:hint="eastAsia"/>
                <w:szCs w:val="21"/>
              </w:rPr>
              <w:t>（20.5）</w:t>
            </w:r>
          </w:p>
        </w:tc>
        <w:tc>
          <w:tcPr>
            <w:tcW w:w="1680" w:type="dxa"/>
            <w:vAlign w:val="center"/>
          </w:tcPr>
          <w:p>
            <w:pPr>
              <w:jc w:val="center"/>
              <w:rPr>
                <w:szCs w:val="21"/>
              </w:rPr>
            </w:pPr>
            <w:r>
              <w:rPr>
                <w:rFonts w:hint="eastAsia"/>
                <w:szCs w:val="21"/>
              </w:rPr>
              <w:t>（0.0）</w:t>
            </w:r>
          </w:p>
        </w:tc>
        <w:tc>
          <w:tcPr>
            <w:tcW w:w="1890" w:type="dxa"/>
            <w:vAlign w:val="center"/>
          </w:tcPr>
          <w:p>
            <w:pPr>
              <w:jc w:val="center"/>
              <w:rPr>
                <w:szCs w:val="21"/>
              </w:rPr>
            </w:pPr>
            <w:r>
              <w:rPr>
                <w:rFonts w:hint="eastAsia"/>
                <w:szCs w:val="21"/>
              </w:rPr>
              <w:t>（38.0）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894" w:type="dxa"/>
            <w:vAlign w:val="center"/>
          </w:tcPr>
          <w:p>
            <w:pPr>
              <w:jc w:val="center"/>
              <w:rPr>
                <w:szCs w:val="21"/>
              </w:rPr>
            </w:pPr>
            <w:r>
              <w:rPr>
                <w:rFonts w:hint="eastAsia"/>
                <w:szCs w:val="21"/>
              </w:rPr>
              <w:t>⑤</w:t>
            </w:r>
          </w:p>
        </w:tc>
        <w:tc>
          <w:tcPr>
            <w:tcW w:w="2205" w:type="dxa"/>
            <w:vAlign w:val="center"/>
          </w:tcPr>
          <w:p>
            <w:pPr>
              <w:jc w:val="center"/>
              <w:rPr>
                <w:rFonts w:hint="eastAsia" w:eastAsia="宋体"/>
                <w:szCs w:val="21"/>
                <w:lang w:eastAsia="zh-CN"/>
              </w:rPr>
            </w:pPr>
            <w:r>
              <w:rPr>
                <w:rFonts w:hint="eastAsia"/>
                <w:szCs w:val="21"/>
                <w:lang w:eastAsia="zh-CN"/>
              </w:rPr>
              <w:t>全风化砂质泥岩</w:t>
            </w:r>
          </w:p>
        </w:tc>
        <w:tc>
          <w:tcPr>
            <w:tcW w:w="1995" w:type="dxa"/>
            <w:vAlign w:val="center"/>
          </w:tcPr>
          <w:p>
            <w:pPr>
              <w:jc w:val="center"/>
              <w:rPr>
                <w:rFonts w:hint="default" w:eastAsia="宋体"/>
                <w:szCs w:val="21"/>
                <w:lang w:val="en-US" w:eastAsia="zh-CN"/>
              </w:rPr>
            </w:pPr>
            <w:r>
              <w:rPr>
                <w:rFonts w:hint="eastAsia"/>
                <w:szCs w:val="21"/>
                <w:lang w:val="en-US" w:eastAsia="zh-CN"/>
              </w:rPr>
              <w:t>19.4</w:t>
            </w:r>
          </w:p>
        </w:tc>
        <w:tc>
          <w:tcPr>
            <w:tcW w:w="1680" w:type="dxa"/>
            <w:vAlign w:val="center"/>
          </w:tcPr>
          <w:p>
            <w:pPr>
              <w:jc w:val="center"/>
              <w:rPr>
                <w:rFonts w:hint="eastAsia"/>
                <w:szCs w:val="21"/>
                <w:lang w:val="en-US" w:eastAsia="zh-CN"/>
              </w:rPr>
            </w:pPr>
            <w:r>
              <w:rPr>
                <w:rFonts w:hint="default"/>
                <w:szCs w:val="21"/>
                <w:lang w:val="en-US" w:eastAsia="zh-CN"/>
              </w:rPr>
              <w:t xml:space="preserve">32.6 </w:t>
            </w:r>
          </w:p>
        </w:tc>
        <w:tc>
          <w:tcPr>
            <w:tcW w:w="1890" w:type="dxa"/>
            <w:vAlign w:val="center"/>
          </w:tcPr>
          <w:p>
            <w:pPr>
              <w:jc w:val="center"/>
              <w:rPr>
                <w:rFonts w:hint="eastAsia"/>
                <w:szCs w:val="21"/>
                <w:lang w:val="en-US" w:eastAsia="zh-CN"/>
              </w:rPr>
            </w:pPr>
            <w:r>
              <w:rPr>
                <w:rFonts w:hint="default"/>
                <w:szCs w:val="21"/>
                <w:lang w:val="en-US" w:eastAsia="zh-CN"/>
              </w:rPr>
              <w:t xml:space="preserve">18.7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894" w:type="dxa"/>
            <w:vAlign w:val="center"/>
          </w:tcPr>
          <w:p>
            <w:pPr>
              <w:jc w:val="center"/>
              <w:rPr>
                <w:szCs w:val="21"/>
              </w:rPr>
            </w:pPr>
            <w:r>
              <w:rPr>
                <w:rFonts w:hint="eastAsia"/>
                <w:szCs w:val="21"/>
              </w:rPr>
              <w:t>⑥</w:t>
            </w:r>
          </w:p>
        </w:tc>
        <w:tc>
          <w:tcPr>
            <w:tcW w:w="2205" w:type="dxa"/>
            <w:vAlign w:val="center"/>
          </w:tcPr>
          <w:p>
            <w:pPr>
              <w:jc w:val="center"/>
              <w:rPr>
                <w:rFonts w:hint="eastAsia" w:eastAsia="宋体"/>
                <w:szCs w:val="21"/>
                <w:lang w:eastAsia="zh-CN"/>
              </w:rPr>
            </w:pPr>
            <w:r>
              <w:rPr>
                <w:rFonts w:hint="eastAsia"/>
                <w:szCs w:val="21"/>
                <w:lang w:eastAsia="zh-CN"/>
              </w:rPr>
              <w:t>强风化砂质泥岩</w:t>
            </w:r>
          </w:p>
        </w:tc>
        <w:tc>
          <w:tcPr>
            <w:tcW w:w="1995" w:type="dxa"/>
            <w:vAlign w:val="center"/>
          </w:tcPr>
          <w:p>
            <w:pPr>
              <w:jc w:val="center"/>
              <w:rPr>
                <w:rFonts w:hint="default" w:eastAsia="宋体"/>
                <w:szCs w:val="21"/>
                <w:lang w:val="en-US" w:eastAsia="zh-CN"/>
              </w:rPr>
            </w:pPr>
            <w:r>
              <w:rPr>
                <w:rFonts w:hint="eastAsia"/>
                <w:szCs w:val="21"/>
                <w:lang w:val="en-US" w:eastAsia="zh-CN"/>
              </w:rPr>
              <w:t>20.5</w:t>
            </w:r>
          </w:p>
        </w:tc>
        <w:tc>
          <w:tcPr>
            <w:tcW w:w="1680" w:type="dxa"/>
            <w:vAlign w:val="center"/>
          </w:tcPr>
          <w:p>
            <w:pPr>
              <w:jc w:val="center"/>
              <w:rPr>
                <w:szCs w:val="21"/>
              </w:rPr>
            </w:pPr>
            <w:r>
              <w:rPr>
                <w:rFonts w:hint="eastAsia"/>
                <w:szCs w:val="21"/>
              </w:rPr>
              <w:t>（41.0）</w:t>
            </w:r>
          </w:p>
        </w:tc>
        <w:tc>
          <w:tcPr>
            <w:tcW w:w="1890" w:type="dxa"/>
            <w:vAlign w:val="center"/>
          </w:tcPr>
          <w:p>
            <w:pPr>
              <w:jc w:val="center"/>
              <w:rPr>
                <w:szCs w:val="21"/>
              </w:rPr>
            </w:pPr>
            <w:r>
              <w:rPr>
                <w:rFonts w:hint="eastAsia"/>
                <w:szCs w:val="21"/>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894" w:type="dxa"/>
            <w:vAlign w:val="center"/>
          </w:tcPr>
          <w:p>
            <w:pPr>
              <w:jc w:val="center"/>
              <w:rPr>
                <w:szCs w:val="21"/>
              </w:rPr>
            </w:pPr>
            <w:r>
              <w:rPr>
                <w:rFonts w:hint="eastAsia"/>
                <w:szCs w:val="21"/>
              </w:rPr>
              <w:t>⑦</w:t>
            </w:r>
          </w:p>
        </w:tc>
        <w:tc>
          <w:tcPr>
            <w:tcW w:w="2205" w:type="dxa"/>
            <w:vAlign w:val="center"/>
          </w:tcPr>
          <w:p>
            <w:pPr>
              <w:jc w:val="center"/>
              <w:rPr>
                <w:rFonts w:hint="eastAsia" w:eastAsia="宋体"/>
                <w:szCs w:val="21"/>
                <w:lang w:eastAsia="zh-CN"/>
              </w:rPr>
            </w:pPr>
            <w:r>
              <w:rPr>
                <w:rFonts w:hint="eastAsia"/>
                <w:szCs w:val="21"/>
                <w:lang w:eastAsia="zh-CN"/>
              </w:rPr>
              <w:t>中等风化砂质泥岩</w:t>
            </w:r>
          </w:p>
        </w:tc>
        <w:tc>
          <w:tcPr>
            <w:tcW w:w="1995" w:type="dxa"/>
            <w:vAlign w:val="center"/>
          </w:tcPr>
          <w:p>
            <w:pPr>
              <w:jc w:val="center"/>
              <w:rPr>
                <w:rFonts w:hint="default" w:eastAsia="宋体"/>
                <w:szCs w:val="21"/>
                <w:lang w:val="en-US" w:eastAsia="zh-CN"/>
              </w:rPr>
            </w:pPr>
            <w:r>
              <w:rPr>
                <w:rFonts w:hint="eastAsia"/>
                <w:szCs w:val="21"/>
                <w:lang w:val="en-US" w:eastAsia="zh-CN"/>
              </w:rPr>
              <w:t>22.0</w:t>
            </w:r>
          </w:p>
        </w:tc>
        <w:tc>
          <w:tcPr>
            <w:tcW w:w="1680" w:type="dxa"/>
            <w:vAlign w:val="center"/>
          </w:tcPr>
          <w:p>
            <w:pPr>
              <w:jc w:val="center"/>
              <w:rPr>
                <w:rFonts w:hint="eastAsia" w:eastAsia="宋体"/>
                <w:szCs w:val="21"/>
                <w:lang w:eastAsia="zh-CN"/>
              </w:rPr>
            </w:pPr>
            <w:r>
              <w:rPr>
                <w:rFonts w:hint="eastAsia"/>
                <w:sz w:val="24"/>
                <w:lang w:eastAsia="zh-CN"/>
              </w:rPr>
              <w:t>—</w:t>
            </w:r>
          </w:p>
        </w:tc>
        <w:tc>
          <w:tcPr>
            <w:tcW w:w="1890" w:type="dxa"/>
            <w:vAlign w:val="center"/>
          </w:tcPr>
          <w:p>
            <w:pPr>
              <w:jc w:val="center"/>
              <w:rPr>
                <w:szCs w:val="21"/>
              </w:rPr>
            </w:pPr>
            <w:r>
              <w:rPr>
                <w:rFonts w:hint="eastAsia"/>
                <w:sz w:val="24"/>
                <w:lang w:eastAsia="zh-CN"/>
              </w:rPr>
              <w:t>—</w:t>
            </w:r>
          </w:p>
        </w:tc>
      </w:tr>
    </w:tbl>
    <w:p>
      <w:pPr>
        <w:pStyle w:val="56"/>
        <w:adjustRightInd w:val="0"/>
        <w:spacing w:line="240" w:lineRule="auto"/>
        <w:ind w:firstLine="103" w:firstLineChars="49"/>
        <w:rPr>
          <w:rFonts w:ascii="Times New Roman" w:hAnsi="Times New Roman" w:cs="Times New Roman"/>
          <w:b/>
          <w:sz w:val="21"/>
          <w:szCs w:val="24"/>
        </w:rPr>
      </w:pPr>
      <w:r>
        <w:rPr>
          <w:rFonts w:hint="eastAsia" w:ascii="Times New Roman" w:hAnsi="Times New Roman" w:cs="Times New Roman"/>
          <w:b/>
          <w:sz w:val="21"/>
          <w:szCs w:val="24"/>
        </w:rPr>
        <w:t>注：(  )中值为建议值。</w:t>
      </w:r>
    </w:p>
    <w:p>
      <w:pPr>
        <w:spacing w:line="360" w:lineRule="auto"/>
        <w:rPr>
          <w:sz w:val="24"/>
        </w:rPr>
      </w:pPr>
      <w:r>
        <w:rPr>
          <w:rFonts w:hint="eastAsia"/>
          <w:b/>
          <w:sz w:val="24"/>
        </w:rPr>
        <w:t>6.2.</w:t>
      </w:r>
      <w:r>
        <w:rPr>
          <w:rFonts w:hint="eastAsia"/>
          <w:sz w:val="24"/>
        </w:rPr>
        <w:t>基坑开挖时，应根据支护结构设计、降排水要求，确定开挖方案。基坑边界周围地面应设排水沟，且应避免漏水、渗水进入坑内。</w:t>
      </w:r>
    </w:p>
    <w:p>
      <w:pPr>
        <w:spacing w:line="360" w:lineRule="auto"/>
        <w:rPr>
          <w:sz w:val="24"/>
        </w:rPr>
      </w:pPr>
      <w:r>
        <w:rPr>
          <w:rFonts w:hint="eastAsia"/>
          <w:b/>
          <w:sz w:val="24"/>
        </w:rPr>
        <w:t>6.3.</w:t>
      </w:r>
      <w:r>
        <w:rPr>
          <w:rFonts w:hint="eastAsia"/>
          <w:sz w:val="24"/>
        </w:rPr>
        <w:t>基坑周边严禁超堆荷载。</w:t>
      </w:r>
    </w:p>
    <w:p>
      <w:pPr>
        <w:spacing w:line="360" w:lineRule="auto"/>
        <w:rPr>
          <w:sz w:val="24"/>
        </w:rPr>
      </w:pPr>
      <w:r>
        <w:rPr>
          <w:rFonts w:hint="eastAsia"/>
          <w:b/>
          <w:sz w:val="24"/>
        </w:rPr>
        <w:t>6.4.</w:t>
      </w:r>
      <w:r>
        <w:rPr>
          <w:rFonts w:hint="eastAsia"/>
          <w:sz w:val="24"/>
        </w:rPr>
        <w:t>基坑开挖过程中，应采取措施防止碰撞支护结构、工程桩或扰动基底原状土；发生异常情况时，应立即停止挖土，并应立即查清原因和采取措施，方能继续挖土。</w:t>
      </w:r>
    </w:p>
    <w:p>
      <w:pPr>
        <w:spacing w:line="360" w:lineRule="auto"/>
        <w:rPr>
          <w:sz w:val="24"/>
        </w:rPr>
      </w:pPr>
      <w:r>
        <w:rPr>
          <w:rFonts w:hint="eastAsia"/>
          <w:b/>
          <w:sz w:val="24"/>
        </w:rPr>
        <w:t>6.5.</w:t>
      </w:r>
      <w:r>
        <w:rPr>
          <w:rFonts w:hint="eastAsia"/>
          <w:sz w:val="24"/>
        </w:rPr>
        <w:t>基坑开挖及支护施工全过程直至基坑回填，应进行基坑工程监测，项目包括：支护结构水平位移、周边建筑物及地下管线变形、地下水位等，监控报警值应根据监测对象的有关规范及支护结构设计要求确定并提出应急措施，监测的时间间隔可根据施工进程确定，监测结果变化较大时，应加密观测次数，当有事故征兆时，应连续监测；建立信息化平台，监测结束后应提交监测报告。</w:t>
      </w:r>
    </w:p>
    <w:p>
      <w:pPr>
        <w:spacing w:line="360" w:lineRule="auto"/>
        <w:rPr>
          <w:rFonts w:hAnsi="宋体"/>
          <w:szCs w:val="28"/>
        </w:rPr>
      </w:pPr>
      <w:r>
        <w:rPr>
          <w:b/>
          <w:sz w:val="24"/>
        </w:rPr>
        <w:t>6.</w:t>
      </w:r>
      <w:r>
        <w:rPr>
          <w:rFonts w:hint="eastAsia"/>
          <w:b/>
          <w:sz w:val="24"/>
        </w:rPr>
        <w:t>6</w:t>
      </w:r>
      <w:r>
        <w:rPr>
          <w:b/>
          <w:sz w:val="24"/>
        </w:rPr>
        <w:t>.</w:t>
      </w:r>
      <w:r>
        <w:rPr>
          <w:rFonts w:hint="eastAsia"/>
          <w:sz w:val="24"/>
        </w:rPr>
        <w:t>地下室肥槽回填时，应采用含水量适宜的黏性土分层夯实回填，以防雨水及其它水源渗入基底，造成施工过程中的浮力过大而使地下室上浮。</w:t>
      </w:r>
    </w:p>
    <w:p>
      <w:pPr>
        <w:pStyle w:val="2"/>
        <w:keepNext w:val="0"/>
        <w:keepLines w:val="0"/>
        <w:numPr>
          <w:ilvl w:val="0"/>
          <w:numId w:val="2"/>
        </w:numPr>
        <w:spacing w:before="0" w:after="0" w:line="720" w:lineRule="auto"/>
        <w:jc w:val="left"/>
        <w:rPr>
          <w:rFonts w:eastAsia="黑体"/>
          <w:sz w:val="28"/>
        </w:rPr>
      </w:pPr>
      <w:bookmarkStart w:id="44" w:name="_Toc10468535"/>
      <w:r>
        <w:rPr>
          <w:rFonts w:hint="eastAsia" w:eastAsia="黑体"/>
          <w:sz w:val="28"/>
        </w:rPr>
        <w:t>其他相关问题及建议</w:t>
      </w:r>
      <w:bookmarkEnd w:id="44"/>
    </w:p>
    <w:p>
      <w:pPr>
        <w:spacing w:line="360" w:lineRule="auto"/>
        <w:rPr>
          <w:b/>
          <w:sz w:val="28"/>
        </w:rPr>
      </w:pPr>
      <w:r>
        <w:rPr>
          <w:rFonts w:hint="eastAsia"/>
          <w:b/>
          <w:sz w:val="28"/>
        </w:rPr>
        <w:t>7.1 施工过程中应注意的问题：</w:t>
      </w:r>
    </w:p>
    <w:p>
      <w:pPr>
        <w:spacing w:line="360" w:lineRule="auto"/>
        <w:rPr>
          <w:sz w:val="24"/>
        </w:rPr>
      </w:pPr>
      <w:r>
        <w:rPr>
          <w:rFonts w:hint="eastAsia"/>
          <w:b/>
          <w:sz w:val="24"/>
        </w:rPr>
        <w:t>7.1.1.</w:t>
      </w:r>
      <w:r>
        <w:rPr>
          <w:rFonts w:hint="eastAsia"/>
          <w:sz w:val="24"/>
        </w:rPr>
        <w:t>此拟建场地</w:t>
      </w:r>
      <w:r>
        <w:rPr>
          <w:rFonts w:hint="eastAsia"/>
          <w:sz w:val="24"/>
          <w:lang w:eastAsia="zh-CN"/>
        </w:rPr>
        <w:t>砂层</w:t>
      </w:r>
      <w:r>
        <w:rPr>
          <w:rFonts w:hint="eastAsia"/>
          <w:sz w:val="24"/>
        </w:rPr>
        <w:t>呈中密-密实状态，该层全场分布，厚度变化较大，密实度不均匀，桩施工时建议根据地层变化多做些试验桩，以确定不同部位桩长，防止造成更多的浪费。</w:t>
      </w:r>
    </w:p>
    <w:p>
      <w:pPr>
        <w:spacing w:line="360" w:lineRule="auto"/>
        <w:rPr>
          <w:sz w:val="24"/>
        </w:rPr>
      </w:pPr>
      <w:r>
        <w:rPr>
          <w:rFonts w:hint="eastAsia"/>
          <w:b/>
          <w:sz w:val="24"/>
        </w:rPr>
        <w:t>7.1.2.</w:t>
      </w:r>
      <w:r>
        <w:rPr>
          <w:rFonts w:hint="eastAsia"/>
          <w:sz w:val="24"/>
        </w:rPr>
        <w:t>浅基础施工过程中对基础持力层采取保护措施，不使持力层土受到扰动，保证天然状态。</w:t>
      </w:r>
    </w:p>
    <w:p>
      <w:pPr>
        <w:spacing w:line="360" w:lineRule="auto"/>
        <w:rPr>
          <w:sz w:val="24"/>
        </w:rPr>
      </w:pPr>
      <w:r>
        <w:rPr>
          <w:rFonts w:hint="eastAsia"/>
          <w:b/>
          <w:sz w:val="24"/>
        </w:rPr>
        <w:t>7.2.</w:t>
      </w:r>
      <w:r>
        <w:rPr>
          <w:rFonts w:hint="eastAsia"/>
          <w:sz w:val="24"/>
        </w:rPr>
        <w:t>根据住房和城乡建设部办公厅建办质[2018]31号文（关于实施《危险性较大的分部分项工程安全管理规定》有关问题的通知）规定，本工程基坑工程属于危大工程，设计及施工时应注意地质条件可能造成的风险。地质条件对基坑工程可能造成的风险见本报告第6章。</w:t>
      </w:r>
    </w:p>
    <w:p>
      <w:pPr>
        <w:spacing w:line="360" w:lineRule="auto"/>
        <w:rPr>
          <w:sz w:val="24"/>
        </w:rPr>
      </w:pPr>
      <w:r>
        <w:rPr>
          <w:rFonts w:hint="eastAsia"/>
          <w:b/>
          <w:sz w:val="24"/>
        </w:rPr>
        <w:t>7.3.</w:t>
      </w:r>
      <w:r>
        <w:rPr>
          <w:sz w:val="24"/>
        </w:rPr>
        <w:t>开槽挖至设计标高后</w:t>
      </w:r>
      <w:r>
        <w:rPr>
          <w:rFonts w:hint="eastAsia"/>
          <w:sz w:val="24"/>
        </w:rPr>
        <w:t>及试压桩时，请通知我</w:t>
      </w:r>
      <w:r>
        <w:rPr>
          <w:sz w:val="24"/>
        </w:rPr>
        <w:t>单位</w:t>
      </w:r>
      <w:r>
        <w:rPr>
          <w:rFonts w:hint="eastAsia"/>
          <w:sz w:val="24"/>
        </w:rPr>
        <w:t>参加。</w:t>
      </w:r>
    </w:p>
    <w:p>
      <w:pPr>
        <w:spacing w:line="360" w:lineRule="auto"/>
        <w:rPr>
          <w:sz w:val="24"/>
        </w:rPr>
      </w:pPr>
      <w:r>
        <w:rPr>
          <w:rFonts w:hint="eastAsia"/>
          <w:b/>
          <w:sz w:val="24"/>
        </w:rPr>
        <w:t>7.4.</w:t>
      </w:r>
      <w:r>
        <w:rPr>
          <w:sz w:val="24"/>
        </w:rPr>
        <w:t>本报告中地基方案系针对目前获得的设计资料进行分析评价与建议的，若本工程最终的设计条件及采用的地基方案与本报告内容有较大出入时，请及时与我</w:t>
      </w:r>
      <w:r>
        <w:rPr>
          <w:rFonts w:hint="eastAsia"/>
          <w:sz w:val="24"/>
        </w:rPr>
        <w:t>院</w:t>
      </w:r>
      <w:r>
        <w:rPr>
          <w:sz w:val="24"/>
        </w:rPr>
        <w:t>联系</w:t>
      </w:r>
      <w:r>
        <w:rPr>
          <w:rFonts w:hint="eastAsia"/>
          <w:sz w:val="24"/>
        </w:rPr>
        <w:t>，</w:t>
      </w:r>
      <w:r>
        <w:rPr>
          <w:sz w:val="24"/>
        </w:rPr>
        <w:t>以便判断是否需要调整或补充有关的技术数据及合理变更和完善相关的技术建议和要求。</w:t>
      </w:r>
    </w:p>
    <w:p>
      <w:pPr>
        <w:spacing w:line="360" w:lineRule="auto"/>
        <w:rPr>
          <w:sz w:val="28"/>
          <w:szCs w:val="28"/>
        </w:rPr>
      </w:pPr>
      <w:r>
        <w:rPr>
          <w:rFonts w:hint="eastAsia"/>
          <w:b/>
          <w:sz w:val="24"/>
        </w:rPr>
        <w:t>7.5.</w:t>
      </w:r>
      <w:r>
        <w:rPr>
          <w:rFonts w:hint="eastAsia"/>
          <w:sz w:val="24"/>
        </w:rPr>
        <w:t>未尽事宜，按《建筑桩基技术规范》、《建筑地基基础设计规范》等相关规定执行。</w:t>
      </w:r>
    </w:p>
    <w:p>
      <w:pPr>
        <w:spacing w:line="360" w:lineRule="auto"/>
        <w:jc w:val="left"/>
        <w:rPr>
          <w:b/>
          <w:sz w:val="24"/>
          <w:szCs w:val="28"/>
        </w:rPr>
        <w:sectPr>
          <w:headerReference r:id="rId9" w:type="first"/>
          <w:headerReference r:id="rId7" w:type="default"/>
          <w:footerReference r:id="rId10" w:type="default"/>
          <w:headerReference r:id="rId8" w:type="even"/>
          <w:type w:val="continuous"/>
          <w:pgSz w:w="23814" w:h="16839" w:orient="landscape"/>
          <w:pgMar w:top="1588" w:right="1361" w:bottom="1588" w:left="1985" w:header="1077" w:footer="1077" w:gutter="0"/>
          <w:pgNumType w:start="0"/>
          <w:cols w:equalWidth="0" w:num="2" w:sep="1">
            <w:col w:w="10021" w:space="425"/>
            <w:col w:w="10021"/>
          </w:cols>
          <w:titlePg/>
          <w:docGrid w:type="lines" w:linePitch="320" w:charSpace="0"/>
        </w:sectPr>
      </w:pPr>
      <w:r>
        <w:rPr>
          <w:rFonts w:hint="eastAsia"/>
          <w:b/>
          <w:bCs/>
          <w:sz w:val="24"/>
          <w:szCs w:val="28"/>
        </w:rPr>
        <w:t>7.6.</w:t>
      </w:r>
      <w:r>
        <w:rPr>
          <w:rFonts w:hint="eastAsia"/>
          <w:b/>
          <w:sz w:val="24"/>
          <w:szCs w:val="28"/>
        </w:rPr>
        <w:t>此勘察文件须经施工图审查机构审查合格后方可生效。</w:t>
      </w:r>
    </w:p>
    <w:p>
      <w:pPr>
        <w:spacing w:line="360" w:lineRule="auto"/>
        <w:jc w:val="left"/>
        <w:rPr>
          <w:sz w:val="28"/>
          <w:szCs w:val="28"/>
        </w:rPr>
      </w:pPr>
    </w:p>
    <w:sectPr>
      <w:headerReference r:id="rId13" w:type="first"/>
      <w:footerReference r:id="rId14" w:type="first"/>
      <w:headerReference r:id="rId11" w:type="default"/>
      <w:headerReference r:id="rId12" w:type="even"/>
      <w:pgSz w:w="23814" w:h="16839" w:orient="landscape"/>
      <w:pgMar w:top="1587" w:right="1361" w:bottom="1587" w:left="1985" w:header="1077" w:footer="1077" w:gutter="0"/>
      <w:pgNumType w:start="2"/>
      <w:cols w:equalWidth="0" w:num="2" w:sep="1">
        <w:col w:w="10022" w:space="425"/>
        <w:col w:w="10021"/>
      </w:cols>
      <w:titlePg/>
      <w:rtlGutter w:val="0"/>
      <w:docGrid w:type="lines" w:linePitch="32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华文行楷">
    <w:panose1 w:val="02010800040101010101"/>
    <w:charset w:val="86"/>
    <w:family w:val="auto"/>
    <w:pitch w:val="default"/>
    <w:sig w:usb0="00000001" w:usb1="080F0000" w:usb2="00000000" w:usb3="00000000" w:csb0="00040000" w:csb1="00000000"/>
  </w:font>
  <w:font w:name="Cambria Math">
    <w:panose1 w:val="02040503050406030204"/>
    <w:charset w:val="00"/>
    <w:family w:val="roman"/>
    <w:pitch w:val="default"/>
    <w:sig w:usb0="E00002FF" w:usb1="420024FF" w:usb2="00000000" w:usb3="00000000" w:csb0="2000019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6"/>
      </w:rPr>
    </w:pPr>
    <w:r>
      <w:fldChar w:fldCharType="begin"/>
    </w:r>
    <w:r>
      <w:rPr>
        <w:rStyle w:val="16"/>
      </w:rPr>
      <w:instrText xml:space="preserve">PAGE  </w:instrText>
    </w:r>
    <w:r>
      <w:fldChar w:fldCharType="end"/>
    </w:r>
  </w:p>
  <w:p>
    <w:pPr>
      <w:pStyle w:val="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double" w:color="auto" w:sz="4" w:space="1"/>
      </w:pBdr>
      <w:spacing w:before="120" w:beforeLines="50"/>
      <w:ind w:left="-141" w:leftChars="-67"/>
      <w:jc w:val="right"/>
      <w:rPr>
        <w:rFonts w:ascii="楷体_GB2312" w:eastAsia="楷体_GB2312"/>
        <w:b/>
        <w:szCs w:val="21"/>
        <w:lang w:val="zh-CN"/>
      </w:rPr>
    </w:pPr>
    <w:r>
      <mc:AlternateContent>
        <mc:Choice Requires="wps">
          <w:drawing>
            <wp:anchor distT="0" distB="0" distL="114300" distR="114300" simplePos="0" relativeHeight="251668480" behindDoc="0" locked="0" layoutInCell="1" allowOverlap="1">
              <wp:simplePos x="0" y="0"/>
              <wp:positionH relativeFrom="column">
                <wp:posOffset>12310745</wp:posOffset>
              </wp:positionH>
              <wp:positionV relativeFrom="paragraph">
                <wp:posOffset>310515</wp:posOffset>
              </wp:positionV>
              <wp:extent cx="692785" cy="269875"/>
              <wp:effectExtent l="0" t="0" r="0" b="0"/>
              <wp:wrapNone/>
              <wp:docPr id="4" name="文本框 4"/>
              <wp:cNvGraphicFramePr/>
              <a:graphic xmlns:a="http://schemas.openxmlformats.org/drawingml/2006/main">
                <a:graphicData uri="http://schemas.microsoft.com/office/word/2010/wordprocessingShape">
                  <wps:wsp>
                    <wps:cNvSpPr txBox="1"/>
                    <wps:spPr>
                      <a:xfrm>
                        <a:off x="0" y="0"/>
                        <a:ext cx="693019" cy="2698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
                            <w:rPr>
                              <w:rStyle w:val="16"/>
                              <w:rFonts w:hint="eastAsia" w:ascii="宋体" w:hAnsi="宋体"/>
                              <w:b/>
                              <w:kern w:val="0"/>
                              <w:szCs w:val="21"/>
                            </w:rPr>
                            <w:t>第</w:t>
                          </w:r>
                          <w:r>
                            <w:rPr>
                              <w:rFonts w:ascii="宋体" w:hAnsi="宋体"/>
                              <w:b/>
                              <w:kern w:val="0"/>
                              <w:szCs w:val="21"/>
                            </w:rPr>
                            <w:fldChar w:fldCharType="begin"/>
                          </w:r>
                          <w:r>
                            <w:rPr>
                              <w:rStyle w:val="16"/>
                              <w:rFonts w:ascii="宋体" w:hAnsi="宋体"/>
                              <w:b/>
                              <w:kern w:val="0"/>
                              <w:szCs w:val="21"/>
                            </w:rPr>
                            <w:instrText xml:space="preserve"> PAGE </w:instrText>
                          </w:r>
                          <w:r>
                            <w:rPr>
                              <w:rFonts w:ascii="宋体" w:hAnsi="宋体"/>
                              <w:b/>
                              <w:kern w:val="0"/>
                              <w:szCs w:val="21"/>
                            </w:rPr>
                            <w:fldChar w:fldCharType="separate"/>
                          </w:r>
                          <w:r>
                            <w:rPr>
                              <w:rStyle w:val="16"/>
                              <w:rFonts w:ascii="宋体" w:hAnsi="宋体"/>
                              <w:b/>
                              <w:kern w:val="0"/>
                              <w:szCs w:val="21"/>
                            </w:rPr>
                            <w:t>3</w:t>
                          </w:r>
                          <w:r>
                            <w:rPr>
                              <w:rFonts w:ascii="宋体" w:hAnsi="宋体"/>
                              <w:b/>
                              <w:kern w:val="0"/>
                              <w:szCs w:val="21"/>
                            </w:rPr>
                            <w:fldChar w:fldCharType="end"/>
                          </w:r>
                          <w:r>
                            <w:rPr>
                              <w:rStyle w:val="16"/>
                              <w:rFonts w:hint="eastAsia" w:ascii="宋体" w:hAnsi="宋体"/>
                              <w:b/>
                              <w:kern w:val="0"/>
                              <w:szCs w:val="21"/>
                            </w:rPr>
                            <w:t xml:space="preserve"> 页</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69.35pt;margin-top:24.45pt;height:21.25pt;width:54.55pt;z-index:251668480;mso-width-relative:page;mso-height-relative:page;" filled="f" stroked="f" coordsize="21600,21600" o:gfxdata="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Nh8J&#10;C9sAAAALAQAADwAAAAAAAAABACAAAAAiAAAAZHJzL2Rvd25yZXYueG1sUEsBAhQAFAAAAAgAh07i&#10;QD3vrVIfAgAAFwQAAA4AAAAAAAAAAQAgAAAAKgEAAGRycy9lMm9Eb2MueG1sUEsFBgAAAAAGAAYA&#10;WQEAALsFAAAAAA==&#10;">
              <v:fill on="f" focussize="0,0"/>
              <v:stroke on="f" weight="0.5pt"/>
              <v:imagedata o:title=""/>
              <o:lock v:ext="edit" aspectratio="f"/>
              <v:textbox>
                <w:txbxContent>
                  <w:p>
                    <w:r>
                      <w:rPr>
                        <w:rStyle w:val="16"/>
                        <w:rFonts w:hint="eastAsia" w:ascii="宋体" w:hAnsi="宋体"/>
                        <w:b/>
                        <w:kern w:val="0"/>
                        <w:szCs w:val="21"/>
                      </w:rPr>
                      <w:t>第</w:t>
                    </w:r>
                    <w:r>
                      <w:rPr>
                        <w:rFonts w:ascii="宋体" w:hAnsi="宋体"/>
                        <w:b/>
                        <w:kern w:val="0"/>
                        <w:szCs w:val="21"/>
                      </w:rPr>
                      <w:fldChar w:fldCharType="begin"/>
                    </w:r>
                    <w:r>
                      <w:rPr>
                        <w:rStyle w:val="16"/>
                        <w:rFonts w:ascii="宋体" w:hAnsi="宋体"/>
                        <w:b/>
                        <w:kern w:val="0"/>
                        <w:szCs w:val="21"/>
                      </w:rPr>
                      <w:instrText xml:space="preserve"> PAGE </w:instrText>
                    </w:r>
                    <w:r>
                      <w:rPr>
                        <w:rFonts w:ascii="宋体" w:hAnsi="宋体"/>
                        <w:b/>
                        <w:kern w:val="0"/>
                        <w:szCs w:val="21"/>
                      </w:rPr>
                      <w:fldChar w:fldCharType="separate"/>
                    </w:r>
                    <w:r>
                      <w:rPr>
                        <w:rStyle w:val="16"/>
                        <w:rFonts w:ascii="宋体" w:hAnsi="宋体"/>
                        <w:b/>
                        <w:kern w:val="0"/>
                        <w:szCs w:val="21"/>
                      </w:rPr>
                      <w:t>3</w:t>
                    </w:r>
                    <w:r>
                      <w:rPr>
                        <w:rFonts w:ascii="宋体" w:hAnsi="宋体"/>
                        <w:b/>
                        <w:kern w:val="0"/>
                        <w:szCs w:val="21"/>
                      </w:rPr>
                      <w:fldChar w:fldCharType="end"/>
                    </w:r>
                    <w:r>
                      <w:rPr>
                        <w:rStyle w:val="16"/>
                        <w:rFonts w:hint="eastAsia" w:ascii="宋体" w:hAnsi="宋体"/>
                        <w:b/>
                        <w:kern w:val="0"/>
                        <w:szCs w:val="21"/>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double" w:color="auto" w:sz="4" w:space="1"/>
      </w:pBdr>
      <w:spacing w:before="120" w:beforeLines="50"/>
      <w:ind w:left="-141" w:leftChars="-67"/>
      <w:jc w:val="center"/>
      <w:rPr>
        <w:rFonts w:ascii="楷体_GB2312" w:eastAsia="楷体_GB2312"/>
        <w:b/>
        <w:szCs w:val="21"/>
        <w:lang w:val="zh-CN"/>
      </w:rPr>
    </w:pP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pict>
        <v:shape id="WordPictureWatermark709940282" o:spid="_x0000_s2086" o:spt="75" type="#_x0000_t75" style="position:absolute;left:0pt;height:680.9pt;width:686.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院标"/>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pPr>
      <w:pStyle w:val="9"/>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both"/>
      <w:rPr>
        <w:rFonts w:ascii="宋体" w:hAnsi="宋体"/>
      </w:rPr>
    </w:pPr>
    <w:r>
      <w:rPr>
        <w:rFonts w:hint="eastAsia" w:ascii="黑体" w:hAnsi="黑体" w:eastAsia="黑体"/>
        <w:b/>
        <w:sz w:val="21"/>
        <w:szCs w:val="21"/>
      </w:rPr>
      <w:t>工程名称：</w:t>
    </w:r>
    <w:r>
      <w:rPr>
        <w:rFonts w:hint="eastAsia" w:ascii="黑体" w:hAnsi="黑体" w:eastAsia="黑体"/>
        <w:b/>
        <w:sz w:val="21"/>
        <w:szCs w:val="21"/>
        <w:lang w:eastAsia="zh-CN"/>
      </w:rPr>
      <w:t>16号地块</w:t>
    </w:r>
    <w:r>
      <w:rPr>
        <w:rFonts w:hint="eastAsia" w:asciiTheme="minorEastAsia" w:hAnsiTheme="minorEastAsia" w:eastAsiaTheme="minorEastAsia"/>
        <w:b/>
        <w:sz w:val="21"/>
        <w:szCs w:val="21"/>
      </w:rPr>
      <w:t xml:space="preserve">   </w:t>
    </w:r>
    <w:r>
      <w:ptab w:relativeTo="margin" w:alignment="center" w:leader="none"/>
    </w:r>
    <w:r>
      <w:rPr>
        <w:rFonts w:hint="eastAsia" w:ascii="黑体" w:hAnsi="黑体" w:eastAsia="黑体"/>
        <w:b/>
        <w:sz w:val="21"/>
        <w:szCs w:val="21"/>
      </w:rPr>
      <w:t>勘察阶段：详细勘察</w:t>
    </w:r>
    <w:r>
      <w:ptab w:relativeTo="margin" w:alignment="right" w:leader="none"/>
    </w:r>
    <w:r>
      <w:rPr>
        <w:rFonts w:hint="eastAsia" w:ascii="黑体" w:hAnsi="黑体" w:eastAsia="黑体"/>
        <w:b/>
        <w:sz w:val="21"/>
        <w:szCs w:val="21"/>
      </w:rPr>
      <w:t>工程编号：</w:t>
    </w:r>
    <w:r>
      <w:rPr>
        <w:rFonts w:hint="eastAsia" w:ascii="宋体" w:hAnsi="宋体"/>
      </w:rP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pict>
        <v:shape id="WordPictureWatermark709940285" o:spid="_x0000_s2089" o:spt="75" type="#_x0000_t75" style="position:absolute;left:0pt;height:680.9pt;width:686.85pt;mso-position-horizontal:center;mso-position-horizontal-relative:margin;mso-position-vertical:center;mso-position-vertical-relative:margin;z-index:-251654144;mso-width-relative:page;mso-height-relative:page;" filled="f" o:preferrelative="t" stroked="f" coordsize="21600,21600" o:allowincell="f">
          <v:path/>
          <v:fill on="f" focussize="0,0"/>
          <v:stroke on="f" joinstyle="miter"/>
          <v:imagedata r:id="rId1" gain="19661f" blacklevel="22938f" o:title="院标"/>
          <o:lock v:ext="edit" aspectratio="t"/>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pict>
        <v:shape id="WordPictureWatermark709940288" o:spid="_x0000_s2092" o:spt="75" type="#_x0000_t75" style="position:absolute;left:0pt;height:680.9pt;width:686.85pt;mso-position-horizontal:center;mso-position-horizontal-relative:margin;mso-position-vertical:center;mso-position-vertical-relative:margin;z-index:-251651072;mso-width-relative:page;mso-height-relative:page;" filled="f" o:preferrelative="t" stroked="f" coordsize="21600,21600" o:allowincell="f">
          <v:path/>
          <v:fill on="f" focussize="0,0"/>
          <v:stroke on="f" joinstyle="miter"/>
          <v:imagedata r:id="rId1" gain="19661f" blacklevel="22938f" o:title="院标"/>
          <o:lock v:ext="edit" aspectratio="t"/>
        </v:shape>
      </w:pic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right"/>
      <w:rPr>
        <w:i/>
      </w:rPr>
    </w:pPr>
    <w:r>
      <w:rPr>
        <w:i/>
      </w:rPr>
      <w:t>http://www.jilinjky.com/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65640"/>
    <w:multiLevelType w:val="multilevel"/>
    <w:tmpl w:val="02465640"/>
    <w:lvl w:ilvl="0" w:tentative="0">
      <w:start w:val="1"/>
      <w:numFmt w:val="decimal"/>
      <w:pStyle w:val="83"/>
      <w:lvlText w:val="3.5.%1."/>
      <w:lvlJc w:val="left"/>
      <w:pPr>
        <w:tabs>
          <w:tab w:val="left" w:pos="0"/>
        </w:tabs>
        <w:ind w:left="0" w:firstLine="0"/>
      </w:pPr>
      <w:rPr>
        <w:rFonts w:hint="default" w:ascii="Times New Roman" w:hAnsi="Times New Roman"/>
        <w:b w:val="0"/>
        <w:i w:val="0"/>
        <w:sz w:val="28"/>
      </w:rPr>
    </w:lvl>
    <w:lvl w:ilvl="1" w:tentative="0">
      <w:start w:val="1"/>
      <w:numFmt w:val="decimal"/>
      <w:lvlText w:val="%1.%2."/>
      <w:lvlJc w:val="left"/>
      <w:pPr>
        <w:tabs>
          <w:tab w:val="left" w:pos="1077"/>
        </w:tabs>
        <w:ind w:left="1077" w:hanging="567"/>
      </w:pPr>
      <w:rPr>
        <w:rFonts w:hint="eastAsia"/>
      </w:rPr>
    </w:lvl>
    <w:lvl w:ilvl="2" w:tentative="0">
      <w:start w:val="1"/>
      <w:numFmt w:val="decimal"/>
      <w:lvlText w:val="%1.%2.%3."/>
      <w:lvlJc w:val="left"/>
      <w:pPr>
        <w:tabs>
          <w:tab w:val="left" w:pos="1219"/>
        </w:tabs>
        <w:ind w:left="1219" w:hanging="709"/>
      </w:pPr>
      <w:rPr>
        <w:rFonts w:hint="eastAsia"/>
      </w:rPr>
    </w:lvl>
    <w:lvl w:ilvl="3" w:tentative="0">
      <w:start w:val="1"/>
      <w:numFmt w:val="decimal"/>
      <w:lvlText w:val="%1.%2.%3.%4."/>
      <w:lvlJc w:val="left"/>
      <w:pPr>
        <w:tabs>
          <w:tab w:val="left" w:pos="1361"/>
        </w:tabs>
        <w:ind w:left="1361" w:hanging="851"/>
      </w:pPr>
      <w:rPr>
        <w:rFonts w:hint="eastAsia"/>
      </w:rPr>
    </w:lvl>
    <w:lvl w:ilvl="4" w:tentative="0">
      <w:start w:val="1"/>
      <w:numFmt w:val="decimal"/>
      <w:lvlText w:val="%1.%2.%3.%4.%5."/>
      <w:lvlJc w:val="left"/>
      <w:pPr>
        <w:tabs>
          <w:tab w:val="left" w:pos="1502"/>
        </w:tabs>
        <w:ind w:left="1502" w:hanging="992"/>
      </w:pPr>
      <w:rPr>
        <w:rFonts w:hint="eastAsia"/>
      </w:rPr>
    </w:lvl>
    <w:lvl w:ilvl="5" w:tentative="0">
      <w:start w:val="1"/>
      <w:numFmt w:val="decimal"/>
      <w:lvlText w:val="%1.%2.%3.%4.%5.%6."/>
      <w:lvlJc w:val="left"/>
      <w:pPr>
        <w:tabs>
          <w:tab w:val="left" w:pos="1644"/>
        </w:tabs>
        <w:ind w:left="1644" w:hanging="1134"/>
      </w:pPr>
      <w:rPr>
        <w:rFonts w:hint="eastAsia"/>
      </w:rPr>
    </w:lvl>
    <w:lvl w:ilvl="6" w:tentative="0">
      <w:start w:val="1"/>
      <w:numFmt w:val="decimal"/>
      <w:lvlText w:val="%1.%2.%3.%4.%5.%6.%7."/>
      <w:lvlJc w:val="left"/>
      <w:pPr>
        <w:tabs>
          <w:tab w:val="left" w:pos="1786"/>
        </w:tabs>
        <w:ind w:left="1786" w:hanging="1276"/>
      </w:pPr>
      <w:rPr>
        <w:rFonts w:hint="eastAsia"/>
      </w:rPr>
    </w:lvl>
    <w:lvl w:ilvl="7" w:tentative="0">
      <w:start w:val="1"/>
      <w:numFmt w:val="decimal"/>
      <w:lvlText w:val="%1.%2.%3.%4.%5.%6.%7.%8."/>
      <w:lvlJc w:val="left"/>
      <w:pPr>
        <w:tabs>
          <w:tab w:val="left" w:pos="1928"/>
        </w:tabs>
        <w:ind w:left="1928" w:hanging="1418"/>
      </w:pPr>
      <w:rPr>
        <w:rFonts w:hint="eastAsia"/>
      </w:rPr>
    </w:lvl>
    <w:lvl w:ilvl="8" w:tentative="0">
      <w:start w:val="1"/>
      <w:numFmt w:val="decimal"/>
      <w:lvlText w:val="%1.%2.%3.%4.%5.%6.%7.%8.%9."/>
      <w:lvlJc w:val="left"/>
      <w:pPr>
        <w:tabs>
          <w:tab w:val="left" w:pos="2069"/>
        </w:tabs>
        <w:ind w:left="2069" w:hanging="1559"/>
      </w:pPr>
      <w:rPr>
        <w:rFonts w:hint="eastAsia"/>
      </w:rPr>
    </w:lvl>
  </w:abstractNum>
  <w:abstractNum w:abstractNumId="1">
    <w:nsid w:val="02745276"/>
    <w:multiLevelType w:val="multilevel"/>
    <w:tmpl w:val="02745276"/>
    <w:lvl w:ilvl="0" w:tentative="0">
      <w:start w:val="1"/>
      <w:numFmt w:val="decimal"/>
      <w:pStyle w:val="72"/>
      <w:suff w:val="space"/>
      <w:lvlText w:val="4.2.2.%1."/>
      <w:lvlJc w:val="left"/>
      <w:pPr>
        <w:ind w:left="0" w:firstLine="0"/>
      </w:pPr>
      <w:rPr>
        <w:rFonts w:hint="eastAsia"/>
        <w:b w:val="0"/>
        <w:szCs w:val="28"/>
      </w:rPr>
    </w:lvl>
    <w:lvl w:ilvl="1" w:tentative="0">
      <w:start w:val="1"/>
      <w:numFmt w:val="decimal"/>
      <w:lvlText w:val="%1.%2."/>
      <w:lvlJc w:val="left"/>
      <w:pPr>
        <w:tabs>
          <w:tab w:val="left" w:pos="166"/>
        </w:tabs>
        <w:ind w:left="166" w:hanging="567"/>
      </w:pPr>
      <w:rPr>
        <w:rFonts w:hint="eastAsia" w:ascii="Times New Roman" w:hAnsi="Times New Roman" w:cs="Times New Roman"/>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2" w:tentative="0">
      <w:start w:val="1"/>
      <w:numFmt w:val="decimal"/>
      <w:lvlText w:val="2.4.%3."/>
      <w:lvlJc w:val="left"/>
      <w:pPr>
        <w:tabs>
          <w:tab w:val="left" w:pos="169"/>
        </w:tabs>
        <w:ind w:left="-1" w:firstLine="170"/>
      </w:pPr>
      <w:rPr>
        <w:rFonts w:hint="eastAsia"/>
      </w:rPr>
    </w:lvl>
    <w:lvl w:ilvl="3" w:tentative="0">
      <w:start w:val="1"/>
      <w:numFmt w:val="decimal"/>
      <w:lvlText w:val="%1.%2.%3.%4."/>
      <w:lvlJc w:val="left"/>
      <w:pPr>
        <w:tabs>
          <w:tab w:val="left" w:pos="450"/>
        </w:tabs>
        <w:ind w:left="450" w:hanging="851"/>
      </w:pPr>
      <w:rPr>
        <w:rFonts w:hint="eastAsia"/>
      </w:rPr>
    </w:lvl>
    <w:lvl w:ilvl="4" w:tentative="0">
      <w:start w:val="1"/>
      <w:numFmt w:val="decimal"/>
      <w:lvlText w:val="%1.%2.%3.%4.%5."/>
      <w:lvlJc w:val="left"/>
      <w:pPr>
        <w:tabs>
          <w:tab w:val="left" w:pos="591"/>
        </w:tabs>
        <w:ind w:left="591" w:hanging="992"/>
      </w:pPr>
      <w:rPr>
        <w:rFonts w:hint="eastAsia"/>
      </w:rPr>
    </w:lvl>
    <w:lvl w:ilvl="5" w:tentative="0">
      <w:start w:val="1"/>
      <w:numFmt w:val="decimal"/>
      <w:lvlText w:val="%1.%2.%3.%4.%5.%6."/>
      <w:lvlJc w:val="left"/>
      <w:pPr>
        <w:tabs>
          <w:tab w:val="left" w:pos="733"/>
        </w:tabs>
        <w:ind w:left="733" w:hanging="1134"/>
      </w:pPr>
      <w:rPr>
        <w:rFonts w:hint="eastAsia"/>
      </w:rPr>
    </w:lvl>
    <w:lvl w:ilvl="6" w:tentative="0">
      <w:start w:val="1"/>
      <w:numFmt w:val="decimal"/>
      <w:lvlText w:val="%1.%2.%3.%4.%5.%6.%7."/>
      <w:lvlJc w:val="left"/>
      <w:pPr>
        <w:tabs>
          <w:tab w:val="left" w:pos="875"/>
        </w:tabs>
        <w:ind w:left="875" w:hanging="1276"/>
      </w:pPr>
      <w:rPr>
        <w:rFonts w:hint="eastAsia"/>
      </w:rPr>
    </w:lvl>
    <w:lvl w:ilvl="7" w:tentative="0">
      <w:start w:val="1"/>
      <w:numFmt w:val="decimal"/>
      <w:lvlText w:val="%1.%2.%3.%4.%5.%6.%7.%8."/>
      <w:lvlJc w:val="left"/>
      <w:pPr>
        <w:tabs>
          <w:tab w:val="left" w:pos="1017"/>
        </w:tabs>
        <w:ind w:left="1017" w:hanging="1418"/>
      </w:pPr>
      <w:rPr>
        <w:rFonts w:hint="eastAsia"/>
      </w:rPr>
    </w:lvl>
    <w:lvl w:ilvl="8" w:tentative="0">
      <w:start w:val="1"/>
      <w:numFmt w:val="decimal"/>
      <w:lvlText w:val="%1.%2.%3.%4.%5.%6.%7.%8.%9."/>
      <w:lvlJc w:val="left"/>
      <w:pPr>
        <w:tabs>
          <w:tab w:val="left" w:pos="1158"/>
        </w:tabs>
        <w:ind w:left="1158" w:hanging="1559"/>
      </w:pPr>
      <w:rPr>
        <w:rFonts w:hint="eastAsia"/>
      </w:rPr>
    </w:lvl>
  </w:abstractNum>
  <w:abstractNum w:abstractNumId="2">
    <w:nsid w:val="0C2C13C6"/>
    <w:multiLevelType w:val="multilevel"/>
    <w:tmpl w:val="0C2C13C6"/>
    <w:lvl w:ilvl="0" w:tentative="0">
      <w:start w:val="1"/>
      <w:numFmt w:val="decimal"/>
      <w:pStyle w:val="47"/>
      <w:suff w:val="space"/>
      <w:lvlText w:val="5.4.%1."/>
      <w:lvlJc w:val="left"/>
      <w:pPr>
        <w:ind w:left="0" w:firstLine="0"/>
      </w:pPr>
      <w:rPr>
        <w:rFonts w:hint="default" w:ascii="Times New Roman" w:hAnsi="Times New Roman"/>
        <w:b w:val="0"/>
        <w:i w:val="0"/>
        <w:spacing w:val="0"/>
      </w:rPr>
    </w:lvl>
    <w:lvl w:ilvl="1" w:tentative="0">
      <w:start w:val="1"/>
      <w:numFmt w:val="decimal"/>
      <w:suff w:val="space"/>
      <w:lvlText w:val="%1.%2."/>
      <w:lvlJc w:val="left"/>
      <w:pPr>
        <w:ind w:left="0" w:firstLine="0"/>
      </w:pPr>
      <w:rPr>
        <w:rFonts w:hint="eastAsia" w:ascii="Times New Roman" w:hAnsi="Times New Roman" w:cs="Times New Roman"/>
        <w:b w:val="0"/>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2" w:tentative="0">
      <w:start w:val="1"/>
      <w:numFmt w:val="decimal"/>
      <w:pStyle w:val="45"/>
      <w:suff w:val="space"/>
      <w:lvlText w:val="5.4.%3."/>
      <w:lvlJc w:val="left"/>
      <w:pPr>
        <w:ind w:left="0" w:firstLine="0"/>
      </w:pPr>
      <w:rPr>
        <w:rFonts w:hint="default" w:ascii="Times New Roman" w:hAnsi="Times New Roman"/>
        <w:b w:val="0"/>
        <w:i w:val="0"/>
        <w:spacing w:val="0"/>
        <w:sz w:val="28"/>
        <w:szCs w:val="28"/>
      </w:rPr>
    </w:lvl>
    <w:lvl w:ilvl="3" w:tentative="0">
      <w:start w:val="1"/>
      <w:numFmt w:val="decimal"/>
      <w:suff w:val="space"/>
      <w:lvlText w:val="1.2.4.%4."/>
      <w:lvlJc w:val="left"/>
      <w:pPr>
        <w:ind w:left="0" w:firstLine="0"/>
      </w:pPr>
      <w:rPr>
        <w:rFonts w:hint="eastAsia"/>
      </w:rPr>
    </w:lvl>
    <w:lvl w:ilvl="4" w:tentative="0">
      <w:start w:val="1"/>
      <w:numFmt w:val="decimal"/>
      <w:lvlText w:val="%1.%2.%3.%4.%5."/>
      <w:lvlJc w:val="left"/>
      <w:pPr>
        <w:tabs>
          <w:tab w:val="left" w:pos="1592"/>
        </w:tabs>
        <w:ind w:left="1592" w:hanging="992"/>
      </w:pPr>
      <w:rPr>
        <w:rFonts w:hint="eastAsia"/>
      </w:rPr>
    </w:lvl>
    <w:lvl w:ilvl="5" w:tentative="0">
      <w:start w:val="1"/>
      <w:numFmt w:val="decimal"/>
      <w:lvlText w:val="%1.%2.%3.%4.%5.%6."/>
      <w:lvlJc w:val="left"/>
      <w:pPr>
        <w:tabs>
          <w:tab w:val="left" w:pos="1734"/>
        </w:tabs>
        <w:ind w:left="1734" w:hanging="1134"/>
      </w:pPr>
      <w:rPr>
        <w:rFonts w:hint="eastAsia"/>
      </w:rPr>
    </w:lvl>
    <w:lvl w:ilvl="6" w:tentative="0">
      <w:start w:val="1"/>
      <w:numFmt w:val="decimal"/>
      <w:lvlText w:val="%1.%2.%3.%4.%5.%6.%7."/>
      <w:lvlJc w:val="left"/>
      <w:pPr>
        <w:tabs>
          <w:tab w:val="left" w:pos="1876"/>
        </w:tabs>
        <w:ind w:left="1876" w:hanging="1276"/>
      </w:pPr>
      <w:rPr>
        <w:rFonts w:hint="eastAsia"/>
      </w:rPr>
    </w:lvl>
    <w:lvl w:ilvl="7" w:tentative="0">
      <w:start w:val="1"/>
      <w:numFmt w:val="decimal"/>
      <w:lvlText w:val="%1.%2.%3.%4.%5.%6.%7.%8."/>
      <w:lvlJc w:val="left"/>
      <w:pPr>
        <w:tabs>
          <w:tab w:val="left" w:pos="2018"/>
        </w:tabs>
        <w:ind w:left="2018" w:hanging="1418"/>
      </w:pPr>
      <w:rPr>
        <w:rFonts w:hint="eastAsia"/>
      </w:rPr>
    </w:lvl>
    <w:lvl w:ilvl="8" w:tentative="0">
      <w:start w:val="1"/>
      <w:numFmt w:val="decimal"/>
      <w:lvlText w:val="%1.%2.%3.%4.%5.%6.%7.%8.%9."/>
      <w:lvlJc w:val="left"/>
      <w:pPr>
        <w:tabs>
          <w:tab w:val="left" w:pos="2159"/>
        </w:tabs>
        <w:ind w:left="2159" w:hanging="1559"/>
      </w:pPr>
      <w:rPr>
        <w:rFonts w:hint="eastAsia"/>
      </w:rPr>
    </w:lvl>
  </w:abstractNum>
  <w:abstractNum w:abstractNumId="3">
    <w:nsid w:val="0CB77071"/>
    <w:multiLevelType w:val="multilevel"/>
    <w:tmpl w:val="0CB77071"/>
    <w:lvl w:ilvl="0" w:tentative="0">
      <w:start w:val="1"/>
      <w:numFmt w:val="decimal"/>
      <w:pStyle w:val="60"/>
      <w:lvlText w:val="3.2.%1."/>
      <w:lvlJc w:val="left"/>
      <w:pPr>
        <w:ind w:left="420" w:hanging="420"/>
      </w:pPr>
      <w:rPr>
        <w:rFonts w:hint="eastAsia"/>
        <w:lang w:eastAsia="zh-CN"/>
      </w:rPr>
    </w:lvl>
    <w:lvl w:ilvl="1" w:tentative="0">
      <w:start w:val="1"/>
      <w:numFmt w:val="decimalEnclosedCircle"/>
      <w:lvlText w:val="第%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1076286F"/>
    <w:multiLevelType w:val="multilevel"/>
    <w:tmpl w:val="1076286F"/>
    <w:lvl w:ilvl="0" w:tentative="0">
      <w:start w:val="1"/>
      <w:numFmt w:val="decimal"/>
      <w:suff w:val="space"/>
      <w:lvlText w:val="%1."/>
      <w:lvlJc w:val="left"/>
      <w:pPr>
        <w:ind w:left="0" w:firstLine="0"/>
      </w:pPr>
      <w:rPr>
        <w:rFonts w:hint="eastAsia"/>
      </w:rPr>
    </w:lvl>
    <w:lvl w:ilvl="1" w:tentative="0">
      <w:start w:val="1"/>
      <w:numFmt w:val="decimal"/>
      <w:suff w:val="space"/>
      <w:lvlText w:val="%1.%2."/>
      <w:lvlJc w:val="left"/>
      <w:pPr>
        <w:ind w:left="0" w:firstLine="0"/>
      </w:pPr>
      <w:rPr>
        <w:rFonts w:hint="eastAsia" w:ascii="Times New Roman" w:hAnsi="Times New Roman" w:cs="Times New Roman"/>
        <w:b w:val="0"/>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2" w:tentative="0">
      <w:start w:val="1"/>
      <w:numFmt w:val="decimal"/>
      <w:pStyle w:val="70"/>
      <w:suff w:val="space"/>
      <w:lvlText w:val="1.3.%3."/>
      <w:lvlJc w:val="left"/>
      <w:pPr>
        <w:ind w:left="0" w:firstLine="0"/>
      </w:pPr>
      <w:rPr>
        <w:rFonts w:hint="default" w:ascii="Times New Roman" w:hAnsi="Times New Roman"/>
        <w:spacing w:val="0"/>
        <w:sz w:val="24"/>
        <w:szCs w:val="28"/>
      </w:rPr>
    </w:lvl>
    <w:lvl w:ilvl="3" w:tentative="0">
      <w:start w:val="1"/>
      <w:numFmt w:val="decimal"/>
      <w:suff w:val="space"/>
      <w:lvlText w:val="1.2.4.%4."/>
      <w:lvlJc w:val="left"/>
      <w:pPr>
        <w:ind w:left="0" w:firstLine="0"/>
      </w:pPr>
      <w:rPr>
        <w:rFonts w:hint="eastAsia"/>
      </w:rPr>
    </w:lvl>
    <w:lvl w:ilvl="4" w:tentative="0">
      <w:start w:val="1"/>
      <w:numFmt w:val="decimal"/>
      <w:lvlText w:val="%1.%2.%3.%4.%5."/>
      <w:lvlJc w:val="left"/>
      <w:pPr>
        <w:tabs>
          <w:tab w:val="left" w:pos="1592"/>
        </w:tabs>
        <w:ind w:left="1592" w:hanging="992"/>
      </w:pPr>
      <w:rPr>
        <w:rFonts w:hint="eastAsia"/>
      </w:rPr>
    </w:lvl>
    <w:lvl w:ilvl="5" w:tentative="0">
      <w:start w:val="1"/>
      <w:numFmt w:val="decimal"/>
      <w:lvlText w:val="%1.%2.%3.%4.%5.%6."/>
      <w:lvlJc w:val="left"/>
      <w:pPr>
        <w:tabs>
          <w:tab w:val="left" w:pos="1734"/>
        </w:tabs>
        <w:ind w:left="1734" w:hanging="1134"/>
      </w:pPr>
      <w:rPr>
        <w:rFonts w:hint="eastAsia"/>
      </w:rPr>
    </w:lvl>
    <w:lvl w:ilvl="6" w:tentative="0">
      <w:start w:val="1"/>
      <w:numFmt w:val="decimal"/>
      <w:lvlText w:val="%1.%2.%3.%4.%5.%6.%7."/>
      <w:lvlJc w:val="left"/>
      <w:pPr>
        <w:tabs>
          <w:tab w:val="left" w:pos="1876"/>
        </w:tabs>
        <w:ind w:left="1876" w:hanging="1276"/>
      </w:pPr>
      <w:rPr>
        <w:rFonts w:hint="eastAsia"/>
      </w:rPr>
    </w:lvl>
    <w:lvl w:ilvl="7" w:tentative="0">
      <w:start w:val="1"/>
      <w:numFmt w:val="decimal"/>
      <w:lvlText w:val="%1.%2.%3.%4.%5.%6.%7.%8."/>
      <w:lvlJc w:val="left"/>
      <w:pPr>
        <w:tabs>
          <w:tab w:val="left" w:pos="2018"/>
        </w:tabs>
        <w:ind w:left="2018" w:hanging="1418"/>
      </w:pPr>
      <w:rPr>
        <w:rFonts w:hint="eastAsia"/>
      </w:rPr>
    </w:lvl>
    <w:lvl w:ilvl="8" w:tentative="0">
      <w:start w:val="1"/>
      <w:numFmt w:val="decimal"/>
      <w:lvlText w:val="%1.%2.%3.%4.%5.%6.%7.%8.%9."/>
      <w:lvlJc w:val="left"/>
      <w:pPr>
        <w:tabs>
          <w:tab w:val="left" w:pos="2159"/>
        </w:tabs>
        <w:ind w:left="2159" w:hanging="1559"/>
      </w:pPr>
      <w:rPr>
        <w:rFonts w:hint="eastAsia"/>
      </w:rPr>
    </w:lvl>
  </w:abstractNum>
  <w:abstractNum w:abstractNumId="5">
    <w:nsid w:val="126B491F"/>
    <w:multiLevelType w:val="multilevel"/>
    <w:tmpl w:val="126B491F"/>
    <w:lvl w:ilvl="0" w:tentative="0">
      <w:start w:val="1"/>
      <w:numFmt w:val="decimal"/>
      <w:pStyle w:val="89"/>
      <w:lvlText w:val="1.4.%1."/>
      <w:lvlJc w:val="left"/>
      <w:pPr>
        <w:ind w:left="420" w:hanging="420"/>
      </w:pPr>
      <w:rPr>
        <w:rFonts w:hint="eastAsia"/>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13D5199C"/>
    <w:multiLevelType w:val="multilevel"/>
    <w:tmpl w:val="13D5199C"/>
    <w:lvl w:ilvl="0" w:tentative="0">
      <w:start w:val="1"/>
      <w:numFmt w:val="decimal"/>
      <w:pStyle w:val="85"/>
      <w:suff w:val="space"/>
      <w:lvlText w:val="4.2.1.%1."/>
      <w:lvlJc w:val="left"/>
      <w:pPr>
        <w:ind w:left="0" w:firstLine="0"/>
      </w:pPr>
      <w:rPr>
        <w:rFonts w:hint="eastAsia"/>
      </w:rPr>
    </w:lvl>
    <w:lvl w:ilvl="1" w:tentative="0">
      <w:start w:val="1"/>
      <w:numFmt w:val="decimal"/>
      <w:lvlText w:val="%1.%2."/>
      <w:lvlJc w:val="left"/>
      <w:pPr>
        <w:tabs>
          <w:tab w:val="left" w:pos="167"/>
        </w:tabs>
        <w:ind w:left="167" w:hanging="567"/>
      </w:pPr>
      <w:rPr>
        <w:rFonts w:hint="eastAsia" w:ascii="Times New Roman" w:hAnsi="Times New Roman" w:cs="Times New Roman"/>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2" w:tentative="0">
      <w:start w:val="1"/>
      <w:numFmt w:val="decimal"/>
      <w:lvlText w:val="2.4.%3."/>
      <w:lvlJc w:val="left"/>
      <w:pPr>
        <w:tabs>
          <w:tab w:val="left" w:pos="170"/>
        </w:tabs>
        <w:ind w:left="0" w:firstLine="170"/>
      </w:pPr>
      <w:rPr>
        <w:rFonts w:hint="eastAsia"/>
      </w:rPr>
    </w:lvl>
    <w:lvl w:ilvl="3" w:tentative="0">
      <w:start w:val="1"/>
      <w:numFmt w:val="decimal"/>
      <w:lvlText w:val="%1.%2.%3.%4."/>
      <w:lvlJc w:val="left"/>
      <w:pPr>
        <w:tabs>
          <w:tab w:val="left" w:pos="451"/>
        </w:tabs>
        <w:ind w:left="451" w:hanging="851"/>
      </w:pPr>
      <w:rPr>
        <w:rFonts w:hint="eastAsia"/>
      </w:rPr>
    </w:lvl>
    <w:lvl w:ilvl="4" w:tentative="0">
      <w:start w:val="1"/>
      <w:numFmt w:val="decimal"/>
      <w:lvlText w:val="%1.%2.%3.%4.%5."/>
      <w:lvlJc w:val="left"/>
      <w:pPr>
        <w:tabs>
          <w:tab w:val="left" w:pos="592"/>
        </w:tabs>
        <w:ind w:left="592" w:hanging="992"/>
      </w:pPr>
      <w:rPr>
        <w:rFonts w:hint="eastAsia"/>
      </w:rPr>
    </w:lvl>
    <w:lvl w:ilvl="5" w:tentative="0">
      <w:start w:val="1"/>
      <w:numFmt w:val="decimal"/>
      <w:lvlText w:val="%1.%2.%3.%4.%5.%6."/>
      <w:lvlJc w:val="left"/>
      <w:pPr>
        <w:tabs>
          <w:tab w:val="left" w:pos="734"/>
        </w:tabs>
        <w:ind w:left="734" w:hanging="1134"/>
      </w:pPr>
      <w:rPr>
        <w:rFonts w:hint="eastAsia"/>
      </w:rPr>
    </w:lvl>
    <w:lvl w:ilvl="6" w:tentative="0">
      <w:start w:val="1"/>
      <w:numFmt w:val="decimal"/>
      <w:lvlText w:val="%1.%2.%3.%4.%5.%6.%7."/>
      <w:lvlJc w:val="left"/>
      <w:pPr>
        <w:tabs>
          <w:tab w:val="left" w:pos="876"/>
        </w:tabs>
        <w:ind w:left="876" w:hanging="1276"/>
      </w:pPr>
      <w:rPr>
        <w:rFonts w:hint="eastAsia"/>
      </w:rPr>
    </w:lvl>
    <w:lvl w:ilvl="7" w:tentative="0">
      <w:start w:val="1"/>
      <w:numFmt w:val="decimal"/>
      <w:lvlText w:val="%1.%2.%3.%4.%5.%6.%7.%8."/>
      <w:lvlJc w:val="left"/>
      <w:pPr>
        <w:tabs>
          <w:tab w:val="left" w:pos="1018"/>
        </w:tabs>
        <w:ind w:left="1018" w:hanging="1418"/>
      </w:pPr>
      <w:rPr>
        <w:rFonts w:hint="eastAsia"/>
      </w:rPr>
    </w:lvl>
    <w:lvl w:ilvl="8" w:tentative="0">
      <w:start w:val="1"/>
      <w:numFmt w:val="decimal"/>
      <w:lvlText w:val="%1.%2.%3.%4.%5.%6.%7.%8.%9."/>
      <w:lvlJc w:val="left"/>
      <w:pPr>
        <w:tabs>
          <w:tab w:val="left" w:pos="1159"/>
        </w:tabs>
        <w:ind w:left="1159" w:hanging="1559"/>
      </w:pPr>
      <w:rPr>
        <w:rFonts w:hint="eastAsia"/>
      </w:rPr>
    </w:lvl>
  </w:abstractNum>
  <w:abstractNum w:abstractNumId="7">
    <w:nsid w:val="16270BB4"/>
    <w:multiLevelType w:val="multilevel"/>
    <w:tmpl w:val="16270BB4"/>
    <w:lvl w:ilvl="0" w:tentative="0">
      <w:start w:val="1"/>
      <w:numFmt w:val="decimal"/>
      <w:pStyle w:val="76"/>
      <w:suff w:val="space"/>
      <w:lvlText w:val="4.2.1.%1."/>
      <w:lvlJc w:val="left"/>
      <w:pPr>
        <w:ind w:left="0" w:firstLine="0"/>
      </w:pPr>
      <w:rPr>
        <w:rFonts w:hint="eastAsia"/>
      </w:rPr>
    </w:lvl>
    <w:lvl w:ilvl="1" w:tentative="0">
      <w:start w:val="1"/>
      <w:numFmt w:val="decimal"/>
      <w:lvlText w:val="%1.%2."/>
      <w:lvlJc w:val="left"/>
      <w:pPr>
        <w:tabs>
          <w:tab w:val="left" w:pos="167"/>
        </w:tabs>
        <w:ind w:left="167" w:hanging="567"/>
      </w:pPr>
      <w:rPr>
        <w:rFonts w:hint="eastAsia" w:ascii="Times New Roman" w:hAnsi="Times New Roman" w:cs="Times New Roman"/>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2" w:tentative="0">
      <w:start w:val="1"/>
      <w:numFmt w:val="decimal"/>
      <w:lvlText w:val="2.4.%3."/>
      <w:lvlJc w:val="left"/>
      <w:pPr>
        <w:tabs>
          <w:tab w:val="left" w:pos="170"/>
        </w:tabs>
        <w:ind w:left="0" w:firstLine="170"/>
      </w:pPr>
      <w:rPr>
        <w:rFonts w:hint="eastAsia"/>
      </w:rPr>
    </w:lvl>
    <w:lvl w:ilvl="3" w:tentative="0">
      <w:start w:val="1"/>
      <w:numFmt w:val="decimal"/>
      <w:lvlText w:val="%1.%2.%3.%4."/>
      <w:lvlJc w:val="left"/>
      <w:pPr>
        <w:tabs>
          <w:tab w:val="left" w:pos="451"/>
        </w:tabs>
        <w:ind w:left="451" w:hanging="851"/>
      </w:pPr>
      <w:rPr>
        <w:rFonts w:hint="eastAsia"/>
      </w:rPr>
    </w:lvl>
    <w:lvl w:ilvl="4" w:tentative="0">
      <w:start w:val="1"/>
      <w:numFmt w:val="decimal"/>
      <w:lvlText w:val="%1.%2.%3.%4.%5."/>
      <w:lvlJc w:val="left"/>
      <w:pPr>
        <w:tabs>
          <w:tab w:val="left" w:pos="592"/>
        </w:tabs>
        <w:ind w:left="592" w:hanging="992"/>
      </w:pPr>
      <w:rPr>
        <w:rFonts w:hint="eastAsia"/>
      </w:rPr>
    </w:lvl>
    <w:lvl w:ilvl="5" w:tentative="0">
      <w:start w:val="1"/>
      <w:numFmt w:val="decimal"/>
      <w:lvlText w:val="%1.%2.%3.%4.%5.%6."/>
      <w:lvlJc w:val="left"/>
      <w:pPr>
        <w:tabs>
          <w:tab w:val="left" w:pos="734"/>
        </w:tabs>
        <w:ind w:left="734" w:hanging="1134"/>
      </w:pPr>
      <w:rPr>
        <w:rFonts w:hint="eastAsia"/>
      </w:rPr>
    </w:lvl>
    <w:lvl w:ilvl="6" w:tentative="0">
      <w:start w:val="1"/>
      <w:numFmt w:val="decimal"/>
      <w:lvlText w:val="%1.%2.%3.%4.%5.%6.%7."/>
      <w:lvlJc w:val="left"/>
      <w:pPr>
        <w:tabs>
          <w:tab w:val="left" w:pos="876"/>
        </w:tabs>
        <w:ind w:left="876" w:hanging="1276"/>
      </w:pPr>
      <w:rPr>
        <w:rFonts w:hint="eastAsia"/>
      </w:rPr>
    </w:lvl>
    <w:lvl w:ilvl="7" w:tentative="0">
      <w:start w:val="1"/>
      <w:numFmt w:val="decimal"/>
      <w:lvlText w:val="%1.%2.%3.%4.%5.%6.%7.%8."/>
      <w:lvlJc w:val="left"/>
      <w:pPr>
        <w:tabs>
          <w:tab w:val="left" w:pos="1018"/>
        </w:tabs>
        <w:ind w:left="1018" w:hanging="1418"/>
      </w:pPr>
      <w:rPr>
        <w:rFonts w:hint="eastAsia"/>
      </w:rPr>
    </w:lvl>
    <w:lvl w:ilvl="8" w:tentative="0">
      <w:start w:val="1"/>
      <w:numFmt w:val="decimal"/>
      <w:lvlText w:val="%1.%2.%3.%4.%5.%6.%7.%8.%9."/>
      <w:lvlJc w:val="left"/>
      <w:pPr>
        <w:tabs>
          <w:tab w:val="left" w:pos="1159"/>
        </w:tabs>
        <w:ind w:left="1159" w:hanging="1559"/>
      </w:pPr>
      <w:rPr>
        <w:rFonts w:hint="eastAsia"/>
      </w:rPr>
    </w:lvl>
  </w:abstractNum>
  <w:abstractNum w:abstractNumId="8">
    <w:nsid w:val="1F7B622F"/>
    <w:multiLevelType w:val="multilevel"/>
    <w:tmpl w:val="1F7B622F"/>
    <w:lvl w:ilvl="0" w:tentative="0">
      <w:start w:val="1"/>
      <w:numFmt w:val="decimal"/>
      <w:suff w:val="space"/>
      <w:lvlText w:val="%1."/>
      <w:lvlJc w:val="left"/>
      <w:pPr>
        <w:ind w:left="0" w:firstLine="0"/>
      </w:pPr>
      <w:rPr>
        <w:rFonts w:hint="eastAsia"/>
      </w:rPr>
    </w:lvl>
    <w:lvl w:ilvl="1" w:tentative="0">
      <w:start w:val="1"/>
      <w:numFmt w:val="decimal"/>
      <w:suff w:val="space"/>
      <w:lvlText w:val="%1.%2."/>
      <w:lvlJc w:val="left"/>
      <w:pPr>
        <w:ind w:left="0" w:firstLine="0"/>
      </w:pPr>
      <w:rPr>
        <w:rFonts w:hint="eastAsia" w:ascii="Times New Roman" w:hAnsi="Times New Roman" w:cs="Times New Roman"/>
        <w:b w:val="0"/>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2" w:tentative="0">
      <w:start w:val="1"/>
      <w:numFmt w:val="decimal"/>
      <w:pStyle w:val="58"/>
      <w:suff w:val="space"/>
      <w:lvlText w:val="5.3.%3."/>
      <w:lvlJc w:val="left"/>
      <w:pPr>
        <w:ind w:left="0" w:firstLine="0"/>
      </w:pPr>
      <w:rPr>
        <w:rFonts w:hint="default" w:ascii="Times New Roman" w:hAnsi="Times New Roman"/>
        <w:b w:val="0"/>
        <w:i w:val="0"/>
        <w:color w:val="000000"/>
        <w:spacing w:val="0"/>
        <w:sz w:val="28"/>
        <w:szCs w:val="28"/>
      </w:rPr>
    </w:lvl>
    <w:lvl w:ilvl="3" w:tentative="0">
      <w:start w:val="1"/>
      <w:numFmt w:val="decimal"/>
      <w:suff w:val="space"/>
      <w:lvlText w:val="1.2.4.%4."/>
      <w:lvlJc w:val="left"/>
      <w:pPr>
        <w:ind w:left="0" w:firstLine="0"/>
      </w:pPr>
      <w:rPr>
        <w:rFonts w:hint="eastAsia"/>
      </w:rPr>
    </w:lvl>
    <w:lvl w:ilvl="4" w:tentative="0">
      <w:start w:val="1"/>
      <w:numFmt w:val="decimal"/>
      <w:lvlText w:val="%1.%2.%3.%4.%5."/>
      <w:lvlJc w:val="left"/>
      <w:pPr>
        <w:tabs>
          <w:tab w:val="left" w:pos="1592"/>
        </w:tabs>
        <w:ind w:left="1592" w:hanging="992"/>
      </w:pPr>
      <w:rPr>
        <w:rFonts w:hint="eastAsia"/>
      </w:rPr>
    </w:lvl>
    <w:lvl w:ilvl="5" w:tentative="0">
      <w:start w:val="1"/>
      <w:numFmt w:val="decimal"/>
      <w:lvlText w:val="%1.%2.%3.%4.%5.%6."/>
      <w:lvlJc w:val="left"/>
      <w:pPr>
        <w:tabs>
          <w:tab w:val="left" w:pos="1734"/>
        </w:tabs>
        <w:ind w:left="1734" w:hanging="1134"/>
      </w:pPr>
      <w:rPr>
        <w:rFonts w:hint="eastAsia"/>
      </w:rPr>
    </w:lvl>
    <w:lvl w:ilvl="6" w:tentative="0">
      <w:start w:val="1"/>
      <w:numFmt w:val="decimal"/>
      <w:lvlText w:val="%1.%2.%3.%4.%5.%6.%7."/>
      <w:lvlJc w:val="left"/>
      <w:pPr>
        <w:tabs>
          <w:tab w:val="left" w:pos="1876"/>
        </w:tabs>
        <w:ind w:left="1876" w:hanging="1276"/>
      </w:pPr>
      <w:rPr>
        <w:rFonts w:hint="eastAsia"/>
      </w:rPr>
    </w:lvl>
    <w:lvl w:ilvl="7" w:tentative="0">
      <w:start w:val="1"/>
      <w:numFmt w:val="decimal"/>
      <w:lvlText w:val="%1.%2.%3.%4.%5.%6.%7.%8."/>
      <w:lvlJc w:val="left"/>
      <w:pPr>
        <w:tabs>
          <w:tab w:val="left" w:pos="2018"/>
        </w:tabs>
        <w:ind w:left="2018" w:hanging="1418"/>
      </w:pPr>
      <w:rPr>
        <w:rFonts w:hint="eastAsia"/>
      </w:rPr>
    </w:lvl>
    <w:lvl w:ilvl="8" w:tentative="0">
      <w:start w:val="1"/>
      <w:numFmt w:val="decimal"/>
      <w:lvlText w:val="%1.%2.%3.%4.%5.%6.%7.%8.%9."/>
      <w:lvlJc w:val="left"/>
      <w:pPr>
        <w:tabs>
          <w:tab w:val="left" w:pos="2159"/>
        </w:tabs>
        <w:ind w:left="2159" w:hanging="1559"/>
      </w:pPr>
      <w:rPr>
        <w:rFonts w:hint="eastAsia"/>
      </w:rPr>
    </w:lvl>
  </w:abstractNum>
  <w:abstractNum w:abstractNumId="9">
    <w:nsid w:val="2AB87D84"/>
    <w:multiLevelType w:val="multilevel"/>
    <w:tmpl w:val="2AB87D84"/>
    <w:lvl w:ilvl="0" w:tentative="0">
      <w:start w:val="1"/>
      <w:numFmt w:val="decimal"/>
      <w:suff w:val="space"/>
      <w:lvlText w:val="%1."/>
      <w:lvlJc w:val="left"/>
      <w:pPr>
        <w:ind w:left="0" w:firstLine="0"/>
      </w:pPr>
      <w:rPr>
        <w:rFonts w:hint="eastAsia"/>
      </w:rPr>
    </w:lvl>
    <w:lvl w:ilvl="1" w:tentative="0">
      <w:start w:val="1"/>
      <w:numFmt w:val="decimal"/>
      <w:suff w:val="space"/>
      <w:lvlText w:val="%1.%2."/>
      <w:lvlJc w:val="left"/>
      <w:pPr>
        <w:ind w:left="0" w:firstLine="0"/>
      </w:pPr>
      <w:rPr>
        <w:rFonts w:hint="eastAsia" w:ascii="Times New Roman" w:hAnsi="Times New Roman" w:cs="Times New Roman"/>
        <w:b w:val="0"/>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2" w:tentative="0">
      <w:start w:val="1"/>
      <w:numFmt w:val="decimal"/>
      <w:suff w:val="space"/>
      <w:lvlText w:val="%1.2.%3."/>
      <w:lvlJc w:val="left"/>
      <w:pPr>
        <w:ind w:left="0" w:firstLine="0"/>
      </w:pPr>
      <w:rPr>
        <w:rFonts w:hint="eastAsia"/>
      </w:rPr>
    </w:lvl>
    <w:lvl w:ilvl="3" w:tentative="0">
      <w:start w:val="1"/>
      <w:numFmt w:val="decimal"/>
      <w:pStyle w:val="65"/>
      <w:suff w:val="space"/>
      <w:lvlText w:val="1.2.4.%4."/>
      <w:lvlJc w:val="left"/>
      <w:pPr>
        <w:ind w:left="0" w:firstLine="0"/>
      </w:pPr>
      <w:rPr>
        <w:rFonts w:hint="default" w:ascii="Times New Roman" w:hAnsi="Times New Roman"/>
        <w:spacing w:val="0"/>
        <w:sz w:val="28"/>
        <w:szCs w:val="28"/>
      </w:rPr>
    </w:lvl>
    <w:lvl w:ilvl="4" w:tentative="0">
      <w:start w:val="1"/>
      <w:numFmt w:val="decimal"/>
      <w:lvlText w:val="%1.%2.%3.%4.%5."/>
      <w:lvlJc w:val="left"/>
      <w:pPr>
        <w:tabs>
          <w:tab w:val="left" w:pos="1592"/>
        </w:tabs>
        <w:ind w:left="1592" w:hanging="992"/>
      </w:pPr>
      <w:rPr>
        <w:rFonts w:hint="eastAsia"/>
      </w:rPr>
    </w:lvl>
    <w:lvl w:ilvl="5" w:tentative="0">
      <w:start w:val="1"/>
      <w:numFmt w:val="decimal"/>
      <w:lvlText w:val="%1.%2.%3.%4.%5.%6."/>
      <w:lvlJc w:val="left"/>
      <w:pPr>
        <w:tabs>
          <w:tab w:val="left" w:pos="1734"/>
        </w:tabs>
        <w:ind w:left="1734" w:hanging="1134"/>
      </w:pPr>
      <w:rPr>
        <w:rFonts w:hint="eastAsia"/>
      </w:rPr>
    </w:lvl>
    <w:lvl w:ilvl="6" w:tentative="0">
      <w:start w:val="1"/>
      <w:numFmt w:val="decimal"/>
      <w:lvlText w:val="%1.%2.%3.%4.%5.%6.%7."/>
      <w:lvlJc w:val="left"/>
      <w:pPr>
        <w:tabs>
          <w:tab w:val="left" w:pos="1876"/>
        </w:tabs>
        <w:ind w:left="1876" w:hanging="1276"/>
      </w:pPr>
      <w:rPr>
        <w:rFonts w:hint="eastAsia"/>
      </w:rPr>
    </w:lvl>
    <w:lvl w:ilvl="7" w:tentative="0">
      <w:start w:val="1"/>
      <w:numFmt w:val="decimal"/>
      <w:lvlText w:val="%1.%2.%3.%4.%5.%6.%7.%8."/>
      <w:lvlJc w:val="left"/>
      <w:pPr>
        <w:tabs>
          <w:tab w:val="left" w:pos="2018"/>
        </w:tabs>
        <w:ind w:left="2018" w:hanging="1418"/>
      </w:pPr>
      <w:rPr>
        <w:rFonts w:hint="eastAsia"/>
      </w:rPr>
    </w:lvl>
    <w:lvl w:ilvl="8" w:tentative="0">
      <w:start w:val="1"/>
      <w:numFmt w:val="decimal"/>
      <w:lvlText w:val="%1.%2.%3.%4.%5.%6.%7.%8.%9."/>
      <w:lvlJc w:val="left"/>
      <w:pPr>
        <w:tabs>
          <w:tab w:val="left" w:pos="2159"/>
        </w:tabs>
        <w:ind w:left="2159" w:hanging="1559"/>
      </w:pPr>
      <w:rPr>
        <w:rFonts w:hint="eastAsia"/>
      </w:rPr>
    </w:lvl>
  </w:abstractNum>
  <w:abstractNum w:abstractNumId="10">
    <w:nsid w:val="2E9B3157"/>
    <w:multiLevelType w:val="multilevel"/>
    <w:tmpl w:val="2E9B3157"/>
    <w:lvl w:ilvl="0" w:tentative="0">
      <w:start w:val="1"/>
      <w:numFmt w:val="decimal"/>
      <w:pStyle w:val="61"/>
      <w:suff w:val="space"/>
      <w:lvlText w:val="4.5.2.%1."/>
      <w:lvlJc w:val="left"/>
      <w:pPr>
        <w:ind w:left="1107" w:firstLine="0"/>
      </w:pPr>
      <w:rPr>
        <w:rFonts w:hint="default" w:ascii="Times New Roman" w:hAnsi="Times New Roman" w:eastAsia="宋体"/>
        <w:b w:val="0"/>
        <w:i w:val="0"/>
        <w:sz w:val="28"/>
      </w:rPr>
    </w:lvl>
    <w:lvl w:ilvl="1" w:tentative="0">
      <w:start w:val="1"/>
      <w:numFmt w:val="decimal"/>
      <w:lvlText w:val="%1.%2."/>
      <w:lvlJc w:val="left"/>
      <w:pPr>
        <w:tabs>
          <w:tab w:val="left" w:pos="2184"/>
        </w:tabs>
        <w:ind w:left="2184" w:hanging="567"/>
      </w:pPr>
      <w:rPr>
        <w:rFonts w:hint="eastAsia"/>
      </w:rPr>
    </w:lvl>
    <w:lvl w:ilvl="2" w:tentative="0">
      <w:start w:val="1"/>
      <w:numFmt w:val="decimal"/>
      <w:lvlText w:val="%1.%2.%3."/>
      <w:lvlJc w:val="left"/>
      <w:pPr>
        <w:tabs>
          <w:tab w:val="left" w:pos="2326"/>
        </w:tabs>
        <w:ind w:left="2326" w:hanging="709"/>
      </w:pPr>
      <w:rPr>
        <w:rFonts w:hint="eastAsia"/>
      </w:rPr>
    </w:lvl>
    <w:lvl w:ilvl="3" w:tentative="0">
      <w:start w:val="1"/>
      <w:numFmt w:val="decimal"/>
      <w:lvlText w:val="4.1.2.%4."/>
      <w:lvlJc w:val="left"/>
      <w:pPr>
        <w:tabs>
          <w:tab w:val="left" w:pos="1107"/>
        </w:tabs>
        <w:ind w:left="1107" w:firstLine="0"/>
      </w:pPr>
      <w:rPr>
        <w:rFonts w:hint="default" w:ascii="Times New Roman" w:hAnsi="Times New Roman"/>
        <w:b w:val="0"/>
        <w:i w:val="0"/>
        <w:sz w:val="28"/>
      </w:rPr>
    </w:lvl>
    <w:lvl w:ilvl="4" w:tentative="0">
      <w:start w:val="1"/>
      <w:numFmt w:val="decimal"/>
      <w:lvlText w:val="%1.%2.%3.%4.%5."/>
      <w:lvlJc w:val="left"/>
      <w:pPr>
        <w:tabs>
          <w:tab w:val="left" w:pos="2609"/>
        </w:tabs>
        <w:ind w:left="2609" w:hanging="992"/>
      </w:pPr>
      <w:rPr>
        <w:rFonts w:hint="eastAsia"/>
      </w:rPr>
    </w:lvl>
    <w:lvl w:ilvl="5" w:tentative="0">
      <w:start w:val="1"/>
      <w:numFmt w:val="decimal"/>
      <w:lvlText w:val="%1.%2.%3.%4.%5.%6."/>
      <w:lvlJc w:val="left"/>
      <w:pPr>
        <w:tabs>
          <w:tab w:val="left" w:pos="2751"/>
        </w:tabs>
        <w:ind w:left="2751" w:hanging="1134"/>
      </w:pPr>
      <w:rPr>
        <w:rFonts w:hint="eastAsia"/>
      </w:rPr>
    </w:lvl>
    <w:lvl w:ilvl="6" w:tentative="0">
      <w:start w:val="1"/>
      <w:numFmt w:val="decimal"/>
      <w:lvlText w:val="%1.%2.%3.%4.%5.%6.%7."/>
      <w:lvlJc w:val="left"/>
      <w:pPr>
        <w:tabs>
          <w:tab w:val="left" w:pos="2893"/>
        </w:tabs>
        <w:ind w:left="2893" w:hanging="1276"/>
      </w:pPr>
      <w:rPr>
        <w:rFonts w:hint="eastAsia"/>
      </w:rPr>
    </w:lvl>
    <w:lvl w:ilvl="7" w:tentative="0">
      <w:start w:val="1"/>
      <w:numFmt w:val="decimal"/>
      <w:lvlText w:val="%1.%2.%3.%4.%5.%6.%7.%8."/>
      <w:lvlJc w:val="left"/>
      <w:pPr>
        <w:tabs>
          <w:tab w:val="left" w:pos="3035"/>
        </w:tabs>
        <w:ind w:left="3035" w:hanging="1418"/>
      </w:pPr>
      <w:rPr>
        <w:rFonts w:hint="eastAsia"/>
      </w:rPr>
    </w:lvl>
    <w:lvl w:ilvl="8" w:tentative="0">
      <w:start w:val="1"/>
      <w:numFmt w:val="decimal"/>
      <w:lvlText w:val="%1.%2.%3.%4.%5.%6.%7.%8.%9."/>
      <w:lvlJc w:val="left"/>
      <w:pPr>
        <w:tabs>
          <w:tab w:val="left" w:pos="3176"/>
        </w:tabs>
        <w:ind w:left="3176" w:hanging="1559"/>
      </w:pPr>
      <w:rPr>
        <w:rFonts w:hint="eastAsia"/>
      </w:rPr>
    </w:lvl>
  </w:abstractNum>
  <w:abstractNum w:abstractNumId="11">
    <w:nsid w:val="32397EBB"/>
    <w:multiLevelType w:val="multilevel"/>
    <w:tmpl w:val="32397EBB"/>
    <w:lvl w:ilvl="0" w:tentative="0">
      <w:start w:val="1"/>
      <w:numFmt w:val="decimal"/>
      <w:suff w:val="space"/>
      <w:lvlText w:val="%1."/>
      <w:lvlJc w:val="left"/>
      <w:pPr>
        <w:ind w:left="0" w:firstLine="0"/>
      </w:pPr>
      <w:rPr>
        <w:rFonts w:hint="eastAsia"/>
      </w:rPr>
    </w:lvl>
    <w:lvl w:ilvl="1" w:tentative="0">
      <w:start w:val="1"/>
      <w:numFmt w:val="decimal"/>
      <w:suff w:val="space"/>
      <w:lvlText w:val="%1.%2."/>
      <w:lvlJc w:val="left"/>
      <w:pPr>
        <w:ind w:left="0" w:firstLine="0"/>
      </w:pPr>
      <w:rPr>
        <w:rFonts w:hint="eastAsia" w:ascii="Times New Roman" w:hAnsi="Times New Roman" w:cs="Times New Roman"/>
        <w:b w:val="0"/>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2" w:tentative="0">
      <w:start w:val="1"/>
      <w:numFmt w:val="decimal"/>
      <w:pStyle w:val="39"/>
      <w:suff w:val="space"/>
      <w:lvlText w:val="5.1.%3."/>
      <w:lvlJc w:val="left"/>
      <w:pPr>
        <w:ind w:left="851" w:firstLine="0"/>
      </w:pPr>
      <w:rPr>
        <w:rFonts w:hint="default" w:ascii="Times New Roman" w:hAnsi="Times New Roman" w:eastAsia="仿宋_GB2312"/>
        <w:b w:val="0"/>
        <w:bCs/>
        <w:i w:val="0"/>
        <w:iCs w:val="0"/>
        <w:caps w:val="0"/>
        <w:smallCaps w:val="0"/>
        <w:strike w:val="0"/>
        <w:dstrike w:val="0"/>
        <w:color w:val="000000"/>
        <w:spacing w:val="0"/>
        <w:w w:val="100"/>
        <w:kern w:val="2"/>
        <w:position w:val="0"/>
        <w:sz w:val="28"/>
        <w:szCs w:val="28"/>
        <w:u w:val="none"/>
        <w:shd w:val="clear" w:color="auto" w:fill="auto"/>
        <w14:shadow w14:blurRad="0" w14:dist="0" w14:dir="0" w14:sx="0" w14:sy="0" w14:kx="0" w14:ky="0" w14:algn="none">
          <w14:srgbClr w14:val="000000"/>
        </w14:shadow>
      </w:rPr>
    </w:lvl>
    <w:lvl w:ilvl="3" w:tentative="0">
      <w:start w:val="1"/>
      <w:numFmt w:val="decimal"/>
      <w:suff w:val="space"/>
      <w:lvlText w:val="1.2.4.%4."/>
      <w:lvlJc w:val="left"/>
      <w:pPr>
        <w:ind w:left="0" w:firstLine="0"/>
      </w:pPr>
      <w:rPr>
        <w:rFonts w:hint="eastAsia"/>
      </w:rPr>
    </w:lvl>
    <w:lvl w:ilvl="4" w:tentative="0">
      <w:start w:val="1"/>
      <w:numFmt w:val="decimal"/>
      <w:lvlText w:val="%1.%2.%3.%4.%5."/>
      <w:lvlJc w:val="left"/>
      <w:pPr>
        <w:tabs>
          <w:tab w:val="left" w:pos="1592"/>
        </w:tabs>
        <w:ind w:left="1592" w:hanging="992"/>
      </w:pPr>
      <w:rPr>
        <w:rFonts w:hint="eastAsia"/>
      </w:rPr>
    </w:lvl>
    <w:lvl w:ilvl="5" w:tentative="0">
      <w:start w:val="1"/>
      <w:numFmt w:val="decimal"/>
      <w:lvlText w:val="%1.%2.%3.%4.%5.%6."/>
      <w:lvlJc w:val="left"/>
      <w:pPr>
        <w:tabs>
          <w:tab w:val="left" w:pos="1734"/>
        </w:tabs>
        <w:ind w:left="1734" w:hanging="1134"/>
      </w:pPr>
      <w:rPr>
        <w:rFonts w:hint="eastAsia"/>
      </w:rPr>
    </w:lvl>
    <w:lvl w:ilvl="6" w:tentative="0">
      <w:start w:val="1"/>
      <w:numFmt w:val="decimal"/>
      <w:lvlText w:val="%1.%2.%3.%4.%5.%6.%7."/>
      <w:lvlJc w:val="left"/>
      <w:pPr>
        <w:tabs>
          <w:tab w:val="left" w:pos="1876"/>
        </w:tabs>
        <w:ind w:left="1876" w:hanging="1276"/>
      </w:pPr>
      <w:rPr>
        <w:rFonts w:hint="eastAsia"/>
      </w:rPr>
    </w:lvl>
    <w:lvl w:ilvl="7" w:tentative="0">
      <w:start w:val="1"/>
      <w:numFmt w:val="decimal"/>
      <w:lvlText w:val="%1.%2.%3.%4.%5.%6.%7.%8."/>
      <w:lvlJc w:val="left"/>
      <w:pPr>
        <w:tabs>
          <w:tab w:val="left" w:pos="2018"/>
        </w:tabs>
        <w:ind w:left="2018" w:hanging="1418"/>
      </w:pPr>
      <w:rPr>
        <w:rFonts w:hint="eastAsia"/>
      </w:rPr>
    </w:lvl>
    <w:lvl w:ilvl="8" w:tentative="0">
      <w:start w:val="1"/>
      <w:numFmt w:val="decimal"/>
      <w:lvlText w:val="%1.%2.%3.%4.%5.%6.%7.%8.%9."/>
      <w:lvlJc w:val="left"/>
      <w:pPr>
        <w:tabs>
          <w:tab w:val="left" w:pos="2159"/>
        </w:tabs>
        <w:ind w:left="2159" w:hanging="1559"/>
      </w:pPr>
      <w:rPr>
        <w:rFonts w:hint="eastAsia"/>
      </w:rPr>
    </w:lvl>
  </w:abstractNum>
  <w:abstractNum w:abstractNumId="12">
    <w:nsid w:val="33657181"/>
    <w:multiLevelType w:val="multilevel"/>
    <w:tmpl w:val="33657181"/>
    <w:lvl w:ilvl="0" w:tentative="0">
      <w:start w:val="1"/>
      <w:numFmt w:val="decimal"/>
      <w:suff w:val="space"/>
      <w:lvlText w:val="%1."/>
      <w:lvlJc w:val="left"/>
      <w:pPr>
        <w:ind w:left="0" w:firstLine="0"/>
      </w:pPr>
      <w:rPr>
        <w:rFonts w:hint="eastAsia"/>
      </w:rPr>
    </w:lvl>
    <w:lvl w:ilvl="1" w:tentative="0">
      <w:start w:val="1"/>
      <w:numFmt w:val="decimal"/>
      <w:suff w:val="space"/>
      <w:lvlText w:val="%1.%2."/>
      <w:lvlJc w:val="left"/>
      <w:pPr>
        <w:ind w:left="0" w:firstLine="0"/>
      </w:pPr>
      <w:rPr>
        <w:rFonts w:hint="eastAsia" w:ascii="Times New Roman" w:hAnsi="Times New Roman" w:cs="Times New Roman"/>
        <w:b w:val="0"/>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2" w:tentative="0">
      <w:start w:val="1"/>
      <w:numFmt w:val="decimal"/>
      <w:pStyle w:val="52"/>
      <w:suff w:val="space"/>
      <w:lvlText w:val="2.5.%3."/>
      <w:lvlJc w:val="left"/>
      <w:pPr>
        <w:ind w:left="0" w:firstLine="0"/>
      </w:pPr>
      <w:rPr>
        <w:rFonts w:hint="eastAsia"/>
        <w:b w:val="0"/>
      </w:rPr>
    </w:lvl>
    <w:lvl w:ilvl="3" w:tentative="0">
      <w:start w:val="1"/>
      <w:numFmt w:val="decimal"/>
      <w:suff w:val="space"/>
      <w:lvlText w:val="1.2.4.%4."/>
      <w:lvlJc w:val="left"/>
      <w:pPr>
        <w:ind w:left="0" w:firstLine="0"/>
      </w:pPr>
      <w:rPr>
        <w:rFonts w:hint="eastAsia"/>
      </w:rPr>
    </w:lvl>
    <w:lvl w:ilvl="4" w:tentative="0">
      <w:start w:val="1"/>
      <w:numFmt w:val="decimal"/>
      <w:lvlText w:val="%1.%2.%3.%4.%5."/>
      <w:lvlJc w:val="left"/>
      <w:pPr>
        <w:tabs>
          <w:tab w:val="left" w:pos="1592"/>
        </w:tabs>
        <w:ind w:left="1592" w:hanging="992"/>
      </w:pPr>
      <w:rPr>
        <w:rFonts w:hint="eastAsia"/>
      </w:rPr>
    </w:lvl>
    <w:lvl w:ilvl="5" w:tentative="0">
      <w:start w:val="1"/>
      <w:numFmt w:val="decimal"/>
      <w:lvlText w:val="%1.%2.%3.%4.%5.%6."/>
      <w:lvlJc w:val="left"/>
      <w:pPr>
        <w:tabs>
          <w:tab w:val="left" w:pos="1734"/>
        </w:tabs>
        <w:ind w:left="1734" w:hanging="1134"/>
      </w:pPr>
      <w:rPr>
        <w:rFonts w:hint="eastAsia"/>
      </w:rPr>
    </w:lvl>
    <w:lvl w:ilvl="6" w:tentative="0">
      <w:start w:val="1"/>
      <w:numFmt w:val="decimal"/>
      <w:lvlText w:val="%1.%2.%3.%4.%5.%6.%7."/>
      <w:lvlJc w:val="left"/>
      <w:pPr>
        <w:tabs>
          <w:tab w:val="left" w:pos="1876"/>
        </w:tabs>
        <w:ind w:left="1876" w:hanging="1276"/>
      </w:pPr>
      <w:rPr>
        <w:rFonts w:hint="eastAsia"/>
      </w:rPr>
    </w:lvl>
    <w:lvl w:ilvl="7" w:tentative="0">
      <w:start w:val="1"/>
      <w:numFmt w:val="decimal"/>
      <w:lvlText w:val="%1.%2.%3.%4.%5.%6.%7.%8."/>
      <w:lvlJc w:val="left"/>
      <w:pPr>
        <w:tabs>
          <w:tab w:val="left" w:pos="2018"/>
        </w:tabs>
        <w:ind w:left="2018" w:hanging="1418"/>
      </w:pPr>
      <w:rPr>
        <w:rFonts w:hint="eastAsia"/>
      </w:rPr>
    </w:lvl>
    <w:lvl w:ilvl="8" w:tentative="0">
      <w:start w:val="1"/>
      <w:numFmt w:val="decimal"/>
      <w:lvlText w:val="%1.%2.%3.%4.%5.%6.%7.%8.%9."/>
      <w:lvlJc w:val="left"/>
      <w:pPr>
        <w:tabs>
          <w:tab w:val="left" w:pos="2159"/>
        </w:tabs>
        <w:ind w:left="2159" w:hanging="1559"/>
      </w:pPr>
      <w:rPr>
        <w:rFonts w:hint="eastAsia"/>
      </w:rPr>
    </w:lvl>
  </w:abstractNum>
  <w:abstractNum w:abstractNumId="13">
    <w:nsid w:val="362D268A"/>
    <w:multiLevelType w:val="multilevel"/>
    <w:tmpl w:val="362D268A"/>
    <w:lvl w:ilvl="0" w:tentative="0">
      <w:start w:val="1"/>
      <w:numFmt w:val="decimal"/>
      <w:suff w:val="space"/>
      <w:lvlText w:val="%1."/>
      <w:lvlJc w:val="left"/>
      <w:pPr>
        <w:ind w:left="0" w:firstLine="0"/>
      </w:pPr>
      <w:rPr>
        <w:rFonts w:hint="eastAsia"/>
      </w:rPr>
    </w:lvl>
    <w:lvl w:ilvl="1" w:tentative="0">
      <w:start w:val="1"/>
      <w:numFmt w:val="decimal"/>
      <w:suff w:val="space"/>
      <w:lvlText w:val="%1.%2."/>
      <w:lvlJc w:val="left"/>
      <w:pPr>
        <w:ind w:left="0" w:firstLine="0"/>
      </w:pPr>
      <w:rPr>
        <w:rFonts w:hint="eastAsia" w:ascii="Times New Roman" w:hAnsi="Times New Roman" w:cs="Times New Roman"/>
        <w:b w:val="0"/>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2" w:tentative="0">
      <w:start w:val="1"/>
      <w:numFmt w:val="decimal"/>
      <w:pStyle w:val="54"/>
      <w:suff w:val="space"/>
      <w:lvlText w:val="%1.2.%3."/>
      <w:lvlJc w:val="left"/>
      <w:pPr>
        <w:ind w:left="992" w:firstLine="0"/>
      </w:pPr>
      <w:rPr>
        <w:rFonts w:hint="eastAsia"/>
        <w:b/>
        <w:sz w:val="24"/>
      </w:rPr>
    </w:lvl>
    <w:lvl w:ilvl="3" w:tentative="0">
      <w:start w:val="1"/>
      <w:numFmt w:val="decimal"/>
      <w:pStyle w:val="67"/>
      <w:suff w:val="space"/>
      <w:lvlText w:val="1.2.3.%4."/>
      <w:lvlJc w:val="left"/>
      <w:pPr>
        <w:ind w:left="0" w:firstLine="0"/>
      </w:pPr>
      <w:rPr>
        <w:rFonts w:hint="default" w:ascii="Times New Roman" w:hAnsi="Times New Roman"/>
        <w:b/>
        <w:spacing w:val="0"/>
        <w:sz w:val="24"/>
        <w:szCs w:val="28"/>
      </w:rPr>
    </w:lvl>
    <w:lvl w:ilvl="4" w:tentative="0">
      <w:start w:val="1"/>
      <w:numFmt w:val="decimal"/>
      <w:lvlText w:val="%1.%2.%3.%4.%5."/>
      <w:lvlJc w:val="left"/>
      <w:pPr>
        <w:tabs>
          <w:tab w:val="left" w:pos="1592"/>
        </w:tabs>
        <w:ind w:left="1592" w:hanging="992"/>
      </w:pPr>
      <w:rPr>
        <w:rFonts w:hint="eastAsia"/>
      </w:rPr>
    </w:lvl>
    <w:lvl w:ilvl="5" w:tentative="0">
      <w:start w:val="1"/>
      <w:numFmt w:val="decimal"/>
      <w:lvlText w:val="%1.%2.%3.%4.%5.%6."/>
      <w:lvlJc w:val="left"/>
      <w:pPr>
        <w:tabs>
          <w:tab w:val="left" w:pos="1734"/>
        </w:tabs>
        <w:ind w:left="1734" w:hanging="1134"/>
      </w:pPr>
      <w:rPr>
        <w:rFonts w:hint="eastAsia"/>
      </w:rPr>
    </w:lvl>
    <w:lvl w:ilvl="6" w:tentative="0">
      <w:start w:val="1"/>
      <w:numFmt w:val="decimal"/>
      <w:lvlText w:val="%1.%2.%3.%4.%5.%6.%7."/>
      <w:lvlJc w:val="left"/>
      <w:pPr>
        <w:tabs>
          <w:tab w:val="left" w:pos="1876"/>
        </w:tabs>
        <w:ind w:left="1876" w:hanging="1276"/>
      </w:pPr>
      <w:rPr>
        <w:rFonts w:hint="eastAsia"/>
      </w:rPr>
    </w:lvl>
    <w:lvl w:ilvl="7" w:tentative="0">
      <w:start w:val="1"/>
      <w:numFmt w:val="decimal"/>
      <w:lvlText w:val="%1.%2.%3.%4.%5.%6.%7.%8."/>
      <w:lvlJc w:val="left"/>
      <w:pPr>
        <w:tabs>
          <w:tab w:val="left" w:pos="2018"/>
        </w:tabs>
        <w:ind w:left="2018" w:hanging="1418"/>
      </w:pPr>
      <w:rPr>
        <w:rFonts w:hint="eastAsia"/>
      </w:rPr>
    </w:lvl>
    <w:lvl w:ilvl="8" w:tentative="0">
      <w:start w:val="1"/>
      <w:numFmt w:val="decimal"/>
      <w:lvlText w:val="%1.%2.%3.%4.%5.%6.%7.%8.%9."/>
      <w:lvlJc w:val="left"/>
      <w:pPr>
        <w:tabs>
          <w:tab w:val="left" w:pos="2159"/>
        </w:tabs>
        <w:ind w:left="2159" w:hanging="1559"/>
      </w:pPr>
      <w:rPr>
        <w:rFonts w:hint="eastAsia"/>
      </w:rPr>
    </w:lvl>
  </w:abstractNum>
  <w:abstractNum w:abstractNumId="14">
    <w:nsid w:val="378536A0"/>
    <w:multiLevelType w:val="multilevel"/>
    <w:tmpl w:val="378536A0"/>
    <w:lvl w:ilvl="0" w:tentative="0">
      <w:start w:val="1"/>
      <w:numFmt w:val="decimal"/>
      <w:pStyle w:val="82"/>
      <w:lvlText w:val="3.4.%1."/>
      <w:lvlJc w:val="left"/>
      <w:pPr>
        <w:tabs>
          <w:tab w:val="left" w:pos="0"/>
        </w:tabs>
        <w:ind w:left="0" w:firstLine="0"/>
      </w:pPr>
      <w:rPr>
        <w:rFonts w:hint="default" w:ascii="Times New Roman" w:hAnsi="Times New Roman"/>
        <w:b/>
        <w:i w:val="0"/>
        <w:sz w:val="28"/>
      </w:rPr>
    </w:lvl>
    <w:lvl w:ilvl="1" w:tentative="0">
      <w:start w:val="1"/>
      <w:numFmt w:val="decimal"/>
      <w:lvlText w:val="%1.%2."/>
      <w:lvlJc w:val="left"/>
      <w:pPr>
        <w:tabs>
          <w:tab w:val="left" w:pos="1077"/>
        </w:tabs>
        <w:ind w:left="1077" w:hanging="567"/>
      </w:pPr>
      <w:rPr>
        <w:rFonts w:hint="eastAsia"/>
      </w:rPr>
    </w:lvl>
    <w:lvl w:ilvl="2" w:tentative="0">
      <w:start w:val="1"/>
      <w:numFmt w:val="decimal"/>
      <w:lvlText w:val="%1.%2.%3."/>
      <w:lvlJc w:val="left"/>
      <w:pPr>
        <w:tabs>
          <w:tab w:val="left" w:pos="1219"/>
        </w:tabs>
        <w:ind w:left="1219" w:hanging="709"/>
      </w:pPr>
      <w:rPr>
        <w:rFonts w:hint="eastAsia"/>
      </w:rPr>
    </w:lvl>
    <w:lvl w:ilvl="3" w:tentative="0">
      <w:start w:val="1"/>
      <w:numFmt w:val="decimal"/>
      <w:lvlText w:val="%1.%2.%3.%4."/>
      <w:lvlJc w:val="left"/>
      <w:pPr>
        <w:tabs>
          <w:tab w:val="left" w:pos="1361"/>
        </w:tabs>
        <w:ind w:left="1361" w:hanging="851"/>
      </w:pPr>
      <w:rPr>
        <w:rFonts w:hint="eastAsia"/>
      </w:rPr>
    </w:lvl>
    <w:lvl w:ilvl="4" w:tentative="0">
      <w:start w:val="1"/>
      <w:numFmt w:val="decimal"/>
      <w:lvlText w:val="%1.%2.%3.%4.%5."/>
      <w:lvlJc w:val="left"/>
      <w:pPr>
        <w:tabs>
          <w:tab w:val="left" w:pos="1502"/>
        </w:tabs>
        <w:ind w:left="1502" w:hanging="992"/>
      </w:pPr>
      <w:rPr>
        <w:rFonts w:hint="eastAsia"/>
      </w:rPr>
    </w:lvl>
    <w:lvl w:ilvl="5" w:tentative="0">
      <w:start w:val="1"/>
      <w:numFmt w:val="decimal"/>
      <w:lvlText w:val="%1.%2.%3.%4.%5.%6."/>
      <w:lvlJc w:val="left"/>
      <w:pPr>
        <w:tabs>
          <w:tab w:val="left" w:pos="1644"/>
        </w:tabs>
        <w:ind w:left="1644" w:hanging="1134"/>
      </w:pPr>
      <w:rPr>
        <w:rFonts w:hint="eastAsia"/>
      </w:rPr>
    </w:lvl>
    <w:lvl w:ilvl="6" w:tentative="0">
      <w:start w:val="1"/>
      <w:numFmt w:val="decimal"/>
      <w:lvlText w:val="%1.%2.%3.%4.%5.%6.%7."/>
      <w:lvlJc w:val="left"/>
      <w:pPr>
        <w:tabs>
          <w:tab w:val="left" w:pos="1786"/>
        </w:tabs>
        <w:ind w:left="1786" w:hanging="1276"/>
      </w:pPr>
      <w:rPr>
        <w:rFonts w:hint="eastAsia"/>
      </w:rPr>
    </w:lvl>
    <w:lvl w:ilvl="7" w:tentative="0">
      <w:start w:val="1"/>
      <w:numFmt w:val="decimal"/>
      <w:lvlText w:val="%1.%2.%3.%4.%5.%6.%7.%8."/>
      <w:lvlJc w:val="left"/>
      <w:pPr>
        <w:tabs>
          <w:tab w:val="left" w:pos="1928"/>
        </w:tabs>
        <w:ind w:left="1928" w:hanging="1418"/>
      </w:pPr>
      <w:rPr>
        <w:rFonts w:hint="eastAsia"/>
      </w:rPr>
    </w:lvl>
    <w:lvl w:ilvl="8" w:tentative="0">
      <w:start w:val="1"/>
      <w:numFmt w:val="decimal"/>
      <w:lvlText w:val="%1.%2.%3.%4.%5.%6.%7.%8.%9."/>
      <w:lvlJc w:val="left"/>
      <w:pPr>
        <w:tabs>
          <w:tab w:val="left" w:pos="2069"/>
        </w:tabs>
        <w:ind w:left="2069" w:hanging="1559"/>
      </w:pPr>
      <w:rPr>
        <w:rFonts w:hint="eastAsia"/>
      </w:rPr>
    </w:lvl>
  </w:abstractNum>
  <w:abstractNum w:abstractNumId="15">
    <w:nsid w:val="3E190B1F"/>
    <w:multiLevelType w:val="multilevel"/>
    <w:tmpl w:val="3E190B1F"/>
    <w:lvl w:ilvl="0" w:tentative="0">
      <w:start w:val="1"/>
      <w:numFmt w:val="decimal"/>
      <w:pStyle w:val="62"/>
      <w:suff w:val="space"/>
      <w:lvlText w:val="4.2.3.%1."/>
      <w:lvlJc w:val="left"/>
      <w:pPr>
        <w:ind w:left="0" w:firstLine="0"/>
      </w:pPr>
      <w:rPr>
        <w:rFonts w:hint="eastAsia"/>
      </w:rPr>
    </w:lvl>
    <w:lvl w:ilvl="1" w:tentative="0">
      <w:start w:val="1"/>
      <w:numFmt w:val="decimal"/>
      <w:lvlText w:val="%1.%2."/>
      <w:lvlJc w:val="left"/>
      <w:pPr>
        <w:tabs>
          <w:tab w:val="left" w:pos="166"/>
        </w:tabs>
        <w:ind w:left="166" w:hanging="567"/>
      </w:pPr>
      <w:rPr>
        <w:rFonts w:hint="eastAsia" w:ascii="Times New Roman" w:hAnsi="Times New Roman" w:cs="Times New Roman"/>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2" w:tentative="0">
      <w:start w:val="1"/>
      <w:numFmt w:val="decimal"/>
      <w:lvlText w:val="2.4.%3."/>
      <w:lvlJc w:val="left"/>
      <w:pPr>
        <w:tabs>
          <w:tab w:val="left" w:pos="169"/>
        </w:tabs>
        <w:ind w:left="-1" w:firstLine="170"/>
      </w:pPr>
      <w:rPr>
        <w:rFonts w:hint="eastAsia"/>
      </w:rPr>
    </w:lvl>
    <w:lvl w:ilvl="3" w:tentative="0">
      <w:start w:val="1"/>
      <w:numFmt w:val="decimal"/>
      <w:lvlText w:val="%1.%2.%3.%4."/>
      <w:lvlJc w:val="left"/>
      <w:pPr>
        <w:tabs>
          <w:tab w:val="left" w:pos="450"/>
        </w:tabs>
        <w:ind w:left="450" w:hanging="851"/>
      </w:pPr>
      <w:rPr>
        <w:rFonts w:hint="eastAsia"/>
      </w:rPr>
    </w:lvl>
    <w:lvl w:ilvl="4" w:tentative="0">
      <w:start w:val="1"/>
      <w:numFmt w:val="decimal"/>
      <w:lvlText w:val="%1.%2.%3.%4.%5."/>
      <w:lvlJc w:val="left"/>
      <w:pPr>
        <w:tabs>
          <w:tab w:val="left" w:pos="591"/>
        </w:tabs>
        <w:ind w:left="591" w:hanging="992"/>
      </w:pPr>
      <w:rPr>
        <w:rFonts w:hint="eastAsia"/>
      </w:rPr>
    </w:lvl>
    <w:lvl w:ilvl="5" w:tentative="0">
      <w:start w:val="1"/>
      <w:numFmt w:val="decimal"/>
      <w:lvlText w:val="%1.%2.%3.%4.%5.%6."/>
      <w:lvlJc w:val="left"/>
      <w:pPr>
        <w:tabs>
          <w:tab w:val="left" w:pos="733"/>
        </w:tabs>
        <w:ind w:left="733" w:hanging="1134"/>
      </w:pPr>
      <w:rPr>
        <w:rFonts w:hint="eastAsia"/>
      </w:rPr>
    </w:lvl>
    <w:lvl w:ilvl="6" w:tentative="0">
      <w:start w:val="1"/>
      <w:numFmt w:val="decimal"/>
      <w:lvlText w:val="%1.%2.%3.%4.%5.%6.%7."/>
      <w:lvlJc w:val="left"/>
      <w:pPr>
        <w:tabs>
          <w:tab w:val="left" w:pos="875"/>
        </w:tabs>
        <w:ind w:left="875" w:hanging="1276"/>
      </w:pPr>
      <w:rPr>
        <w:rFonts w:hint="eastAsia"/>
      </w:rPr>
    </w:lvl>
    <w:lvl w:ilvl="7" w:tentative="0">
      <w:start w:val="1"/>
      <w:numFmt w:val="decimal"/>
      <w:lvlText w:val="%1.%2.%3.%4.%5.%6.%7.%8."/>
      <w:lvlJc w:val="left"/>
      <w:pPr>
        <w:tabs>
          <w:tab w:val="left" w:pos="1017"/>
        </w:tabs>
        <w:ind w:left="1017" w:hanging="1418"/>
      </w:pPr>
      <w:rPr>
        <w:rFonts w:hint="eastAsia"/>
      </w:rPr>
    </w:lvl>
    <w:lvl w:ilvl="8" w:tentative="0">
      <w:start w:val="1"/>
      <w:numFmt w:val="decimal"/>
      <w:lvlText w:val="%1.%2.%3.%4.%5.%6.%7.%8.%9."/>
      <w:lvlJc w:val="left"/>
      <w:pPr>
        <w:tabs>
          <w:tab w:val="left" w:pos="1158"/>
        </w:tabs>
        <w:ind w:left="1158" w:hanging="1559"/>
      </w:pPr>
      <w:rPr>
        <w:rFonts w:hint="eastAsia"/>
      </w:rPr>
    </w:lvl>
  </w:abstractNum>
  <w:abstractNum w:abstractNumId="16">
    <w:nsid w:val="43817EB5"/>
    <w:multiLevelType w:val="multilevel"/>
    <w:tmpl w:val="43817EB5"/>
    <w:lvl w:ilvl="0" w:tentative="0">
      <w:start w:val="1"/>
      <w:numFmt w:val="decimal"/>
      <w:pStyle w:val="79"/>
      <w:suff w:val="space"/>
      <w:lvlText w:val="4.2.2.%1."/>
      <w:lvlJc w:val="left"/>
      <w:pPr>
        <w:ind w:left="180" w:firstLine="0"/>
      </w:pPr>
      <w:rPr>
        <w:rFonts w:hint="default" w:ascii="Times New Roman" w:hAnsi="Times New Roman" w:eastAsia="宋体"/>
        <w:b w:val="0"/>
        <w:i w:val="0"/>
        <w:sz w:val="28"/>
      </w:rPr>
    </w:lvl>
    <w:lvl w:ilvl="1" w:tentative="0">
      <w:start w:val="1"/>
      <w:numFmt w:val="decimal"/>
      <w:lvlText w:val="%1.%2."/>
      <w:lvlJc w:val="left"/>
      <w:pPr>
        <w:tabs>
          <w:tab w:val="left" w:pos="1257"/>
        </w:tabs>
        <w:ind w:left="1257" w:hanging="567"/>
      </w:pPr>
      <w:rPr>
        <w:rFonts w:hint="eastAsia"/>
      </w:rPr>
    </w:lvl>
    <w:lvl w:ilvl="2" w:tentative="0">
      <w:start w:val="1"/>
      <w:numFmt w:val="decimal"/>
      <w:lvlText w:val="%1.%2.%3."/>
      <w:lvlJc w:val="left"/>
      <w:pPr>
        <w:tabs>
          <w:tab w:val="left" w:pos="1399"/>
        </w:tabs>
        <w:ind w:left="1399" w:hanging="709"/>
      </w:pPr>
      <w:rPr>
        <w:rFonts w:hint="eastAsia"/>
      </w:rPr>
    </w:lvl>
    <w:lvl w:ilvl="3" w:tentative="0">
      <w:start w:val="1"/>
      <w:numFmt w:val="decimal"/>
      <w:lvlText w:val="4.1.2.%4."/>
      <w:lvlJc w:val="left"/>
      <w:pPr>
        <w:tabs>
          <w:tab w:val="left" w:pos="180"/>
        </w:tabs>
        <w:ind w:left="180" w:firstLine="0"/>
      </w:pPr>
      <w:rPr>
        <w:rFonts w:hint="default" w:ascii="Times New Roman" w:hAnsi="Times New Roman"/>
        <w:b w:val="0"/>
        <w:i w:val="0"/>
        <w:sz w:val="28"/>
      </w:rPr>
    </w:lvl>
    <w:lvl w:ilvl="4" w:tentative="0">
      <w:start w:val="1"/>
      <w:numFmt w:val="decimal"/>
      <w:lvlText w:val="%1.%2.%3.%4.%5."/>
      <w:lvlJc w:val="left"/>
      <w:pPr>
        <w:tabs>
          <w:tab w:val="left" w:pos="1682"/>
        </w:tabs>
        <w:ind w:left="1682" w:hanging="992"/>
      </w:pPr>
      <w:rPr>
        <w:rFonts w:hint="eastAsia"/>
      </w:rPr>
    </w:lvl>
    <w:lvl w:ilvl="5" w:tentative="0">
      <w:start w:val="1"/>
      <w:numFmt w:val="decimal"/>
      <w:lvlText w:val="%1.%2.%3.%4.%5.%6."/>
      <w:lvlJc w:val="left"/>
      <w:pPr>
        <w:tabs>
          <w:tab w:val="left" w:pos="1824"/>
        </w:tabs>
        <w:ind w:left="1824" w:hanging="1134"/>
      </w:pPr>
      <w:rPr>
        <w:rFonts w:hint="eastAsia"/>
      </w:rPr>
    </w:lvl>
    <w:lvl w:ilvl="6" w:tentative="0">
      <w:start w:val="1"/>
      <w:numFmt w:val="decimal"/>
      <w:lvlText w:val="%1.%2.%3.%4.%5.%6.%7."/>
      <w:lvlJc w:val="left"/>
      <w:pPr>
        <w:tabs>
          <w:tab w:val="left" w:pos="1966"/>
        </w:tabs>
        <w:ind w:left="1966" w:hanging="1276"/>
      </w:pPr>
      <w:rPr>
        <w:rFonts w:hint="eastAsia"/>
      </w:rPr>
    </w:lvl>
    <w:lvl w:ilvl="7" w:tentative="0">
      <w:start w:val="1"/>
      <w:numFmt w:val="decimal"/>
      <w:lvlText w:val="%1.%2.%3.%4.%5.%6.%7.%8."/>
      <w:lvlJc w:val="left"/>
      <w:pPr>
        <w:tabs>
          <w:tab w:val="left" w:pos="2108"/>
        </w:tabs>
        <w:ind w:left="2108" w:hanging="1418"/>
      </w:pPr>
      <w:rPr>
        <w:rFonts w:hint="eastAsia"/>
      </w:rPr>
    </w:lvl>
    <w:lvl w:ilvl="8" w:tentative="0">
      <w:start w:val="1"/>
      <w:numFmt w:val="decimal"/>
      <w:lvlText w:val="%1.%2.%3.%4.%5.%6.%7.%8.%9."/>
      <w:lvlJc w:val="left"/>
      <w:pPr>
        <w:tabs>
          <w:tab w:val="left" w:pos="2249"/>
        </w:tabs>
        <w:ind w:left="2249" w:hanging="1559"/>
      </w:pPr>
      <w:rPr>
        <w:rFonts w:hint="eastAsia"/>
      </w:rPr>
    </w:lvl>
  </w:abstractNum>
  <w:abstractNum w:abstractNumId="17">
    <w:nsid w:val="4BC21876"/>
    <w:multiLevelType w:val="multilevel"/>
    <w:tmpl w:val="4BC21876"/>
    <w:lvl w:ilvl="0" w:tentative="0">
      <w:start w:val="1"/>
      <w:numFmt w:val="decimal"/>
      <w:pStyle w:val="43"/>
      <w:suff w:val="space"/>
      <w:lvlText w:val="4.1.%1."/>
      <w:lvlJc w:val="left"/>
      <w:pPr>
        <w:ind w:left="64" w:firstLine="0"/>
      </w:pPr>
      <w:rPr>
        <w:rFonts w:hint="eastAsia"/>
        <w:b w:val="0"/>
        <w:szCs w:val="28"/>
      </w:rPr>
    </w:lvl>
    <w:lvl w:ilvl="1" w:tentative="0">
      <w:start w:val="1"/>
      <w:numFmt w:val="decimal"/>
      <w:lvlText w:val="%1.%2."/>
      <w:lvlJc w:val="left"/>
      <w:pPr>
        <w:tabs>
          <w:tab w:val="left" w:pos="230"/>
        </w:tabs>
        <w:ind w:left="230" w:hanging="567"/>
      </w:pPr>
      <w:rPr>
        <w:rFonts w:hint="eastAsia" w:ascii="Times New Roman" w:hAnsi="Times New Roman" w:cs="Times New Roman"/>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2" w:tentative="0">
      <w:start w:val="1"/>
      <w:numFmt w:val="decimal"/>
      <w:lvlText w:val="2.4.%3."/>
      <w:lvlJc w:val="left"/>
      <w:pPr>
        <w:tabs>
          <w:tab w:val="left" w:pos="233"/>
        </w:tabs>
        <w:ind w:left="63" w:firstLine="170"/>
      </w:pPr>
      <w:rPr>
        <w:rFonts w:hint="eastAsia"/>
      </w:rPr>
    </w:lvl>
    <w:lvl w:ilvl="3" w:tentative="0">
      <w:start w:val="1"/>
      <w:numFmt w:val="decimal"/>
      <w:lvlText w:val="%1.%2.%3.%4."/>
      <w:lvlJc w:val="left"/>
      <w:pPr>
        <w:tabs>
          <w:tab w:val="left" w:pos="514"/>
        </w:tabs>
        <w:ind w:left="514" w:hanging="851"/>
      </w:pPr>
      <w:rPr>
        <w:rFonts w:hint="eastAsia"/>
      </w:rPr>
    </w:lvl>
    <w:lvl w:ilvl="4" w:tentative="0">
      <w:start w:val="1"/>
      <w:numFmt w:val="decimal"/>
      <w:lvlText w:val="%1.%2.%3.%4.%5."/>
      <w:lvlJc w:val="left"/>
      <w:pPr>
        <w:tabs>
          <w:tab w:val="left" w:pos="655"/>
        </w:tabs>
        <w:ind w:left="655" w:hanging="992"/>
      </w:pPr>
      <w:rPr>
        <w:rFonts w:hint="eastAsia"/>
      </w:rPr>
    </w:lvl>
    <w:lvl w:ilvl="5" w:tentative="0">
      <w:start w:val="1"/>
      <w:numFmt w:val="decimal"/>
      <w:lvlText w:val="%1.%2.%3.%4.%5.%6."/>
      <w:lvlJc w:val="left"/>
      <w:pPr>
        <w:tabs>
          <w:tab w:val="left" w:pos="797"/>
        </w:tabs>
        <w:ind w:left="797" w:hanging="1134"/>
      </w:pPr>
      <w:rPr>
        <w:rFonts w:hint="eastAsia"/>
      </w:rPr>
    </w:lvl>
    <w:lvl w:ilvl="6" w:tentative="0">
      <w:start w:val="1"/>
      <w:numFmt w:val="decimal"/>
      <w:lvlText w:val="%1.%2.%3.%4.%5.%6.%7."/>
      <w:lvlJc w:val="left"/>
      <w:pPr>
        <w:tabs>
          <w:tab w:val="left" w:pos="939"/>
        </w:tabs>
        <w:ind w:left="939" w:hanging="1276"/>
      </w:pPr>
      <w:rPr>
        <w:rFonts w:hint="eastAsia"/>
      </w:rPr>
    </w:lvl>
    <w:lvl w:ilvl="7" w:tentative="0">
      <w:start w:val="1"/>
      <w:numFmt w:val="decimal"/>
      <w:lvlText w:val="%1.%2.%3.%4.%5.%6.%7.%8."/>
      <w:lvlJc w:val="left"/>
      <w:pPr>
        <w:tabs>
          <w:tab w:val="left" w:pos="1081"/>
        </w:tabs>
        <w:ind w:left="1081" w:hanging="1418"/>
      </w:pPr>
      <w:rPr>
        <w:rFonts w:hint="eastAsia"/>
      </w:rPr>
    </w:lvl>
    <w:lvl w:ilvl="8" w:tentative="0">
      <w:start w:val="1"/>
      <w:numFmt w:val="decimal"/>
      <w:lvlText w:val="%1.%2.%3.%4.%5.%6.%7.%8.%9."/>
      <w:lvlJc w:val="left"/>
      <w:pPr>
        <w:tabs>
          <w:tab w:val="left" w:pos="1222"/>
        </w:tabs>
        <w:ind w:left="1222" w:hanging="1559"/>
      </w:pPr>
      <w:rPr>
        <w:rFonts w:hint="eastAsia"/>
      </w:rPr>
    </w:lvl>
  </w:abstractNum>
  <w:abstractNum w:abstractNumId="18">
    <w:nsid w:val="52861762"/>
    <w:multiLevelType w:val="multilevel"/>
    <w:tmpl w:val="52861762"/>
    <w:lvl w:ilvl="0" w:tentative="0">
      <w:start w:val="1"/>
      <w:numFmt w:val="decimal"/>
      <w:pStyle w:val="64"/>
      <w:suff w:val="space"/>
      <w:lvlText w:val="4.2.1.%1."/>
      <w:lvlJc w:val="left"/>
      <w:pPr>
        <w:ind w:left="0" w:firstLine="0"/>
      </w:pPr>
      <w:rPr>
        <w:rFonts w:hint="eastAsia"/>
      </w:rPr>
    </w:lvl>
    <w:lvl w:ilvl="1" w:tentative="0">
      <w:start w:val="1"/>
      <w:numFmt w:val="decimal"/>
      <w:lvlText w:val="%1.%2."/>
      <w:lvlJc w:val="left"/>
      <w:pPr>
        <w:tabs>
          <w:tab w:val="left" w:pos="167"/>
        </w:tabs>
        <w:ind w:left="167" w:hanging="567"/>
      </w:pPr>
      <w:rPr>
        <w:rFonts w:hint="eastAsia" w:ascii="Times New Roman" w:hAnsi="Times New Roman" w:cs="Times New Roman"/>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2" w:tentative="0">
      <w:start w:val="1"/>
      <w:numFmt w:val="decimal"/>
      <w:lvlText w:val="2.4.%3."/>
      <w:lvlJc w:val="left"/>
      <w:pPr>
        <w:tabs>
          <w:tab w:val="left" w:pos="170"/>
        </w:tabs>
        <w:ind w:left="0" w:firstLine="170"/>
      </w:pPr>
      <w:rPr>
        <w:rFonts w:hint="eastAsia"/>
      </w:rPr>
    </w:lvl>
    <w:lvl w:ilvl="3" w:tentative="0">
      <w:start w:val="1"/>
      <w:numFmt w:val="decimal"/>
      <w:lvlText w:val="%1.%2.%3.%4."/>
      <w:lvlJc w:val="left"/>
      <w:pPr>
        <w:tabs>
          <w:tab w:val="left" w:pos="451"/>
        </w:tabs>
        <w:ind w:left="451" w:hanging="851"/>
      </w:pPr>
      <w:rPr>
        <w:rFonts w:hint="eastAsia"/>
      </w:rPr>
    </w:lvl>
    <w:lvl w:ilvl="4" w:tentative="0">
      <w:start w:val="1"/>
      <w:numFmt w:val="decimal"/>
      <w:lvlText w:val="%1.%2.%3.%4.%5."/>
      <w:lvlJc w:val="left"/>
      <w:pPr>
        <w:tabs>
          <w:tab w:val="left" w:pos="592"/>
        </w:tabs>
        <w:ind w:left="592" w:hanging="992"/>
      </w:pPr>
      <w:rPr>
        <w:rFonts w:hint="eastAsia"/>
      </w:rPr>
    </w:lvl>
    <w:lvl w:ilvl="5" w:tentative="0">
      <w:start w:val="1"/>
      <w:numFmt w:val="decimal"/>
      <w:lvlText w:val="%1.%2.%3.%4.%5.%6."/>
      <w:lvlJc w:val="left"/>
      <w:pPr>
        <w:tabs>
          <w:tab w:val="left" w:pos="734"/>
        </w:tabs>
        <w:ind w:left="734" w:hanging="1134"/>
      </w:pPr>
      <w:rPr>
        <w:rFonts w:hint="eastAsia"/>
      </w:rPr>
    </w:lvl>
    <w:lvl w:ilvl="6" w:tentative="0">
      <w:start w:val="1"/>
      <w:numFmt w:val="decimal"/>
      <w:lvlText w:val="%1.%2.%3.%4.%5.%6.%7."/>
      <w:lvlJc w:val="left"/>
      <w:pPr>
        <w:tabs>
          <w:tab w:val="left" w:pos="876"/>
        </w:tabs>
        <w:ind w:left="876" w:hanging="1276"/>
      </w:pPr>
      <w:rPr>
        <w:rFonts w:hint="eastAsia"/>
      </w:rPr>
    </w:lvl>
    <w:lvl w:ilvl="7" w:tentative="0">
      <w:start w:val="1"/>
      <w:numFmt w:val="decimal"/>
      <w:lvlText w:val="%1.%2.%3.%4.%5.%6.%7.%8."/>
      <w:lvlJc w:val="left"/>
      <w:pPr>
        <w:tabs>
          <w:tab w:val="left" w:pos="1018"/>
        </w:tabs>
        <w:ind w:left="1018" w:hanging="1418"/>
      </w:pPr>
      <w:rPr>
        <w:rFonts w:hint="eastAsia"/>
      </w:rPr>
    </w:lvl>
    <w:lvl w:ilvl="8" w:tentative="0">
      <w:start w:val="1"/>
      <w:numFmt w:val="decimal"/>
      <w:lvlText w:val="%1.%2.%3.%4.%5.%6.%7.%8.%9."/>
      <w:lvlJc w:val="left"/>
      <w:pPr>
        <w:tabs>
          <w:tab w:val="left" w:pos="1159"/>
        </w:tabs>
        <w:ind w:left="1159" w:hanging="1559"/>
      </w:pPr>
      <w:rPr>
        <w:rFonts w:hint="eastAsia"/>
      </w:rPr>
    </w:lvl>
  </w:abstractNum>
  <w:abstractNum w:abstractNumId="19">
    <w:nsid w:val="52973518"/>
    <w:multiLevelType w:val="multilevel"/>
    <w:tmpl w:val="52973518"/>
    <w:lvl w:ilvl="0" w:tentative="0">
      <w:start w:val="1"/>
      <w:numFmt w:val="decimal"/>
      <w:suff w:val="space"/>
      <w:lvlText w:val="%1."/>
      <w:lvlJc w:val="left"/>
      <w:pPr>
        <w:ind w:left="0" w:firstLine="0"/>
      </w:pPr>
      <w:rPr>
        <w:rFonts w:hint="eastAsia"/>
      </w:rPr>
    </w:lvl>
    <w:lvl w:ilvl="1" w:tentative="0">
      <w:start w:val="1"/>
      <w:numFmt w:val="decimal"/>
      <w:suff w:val="space"/>
      <w:lvlText w:val="%1.%2."/>
      <w:lvlJc w:val="left"/>
      <w:pPr>
        <w:ind w:left="0" w:firstLine="0"/>
      </w:pPr>
      <w:rPr>
        <w:rFonts w:hint="eastAsia" w:ascii="Times New Roman" w:hAnsi="Times New Roman" w:cs="Times New Roman"/>
        <w:b w:val="0"/>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2" w:tentative="0">
      <w:start w:val="1"/>
      <w:numFmt w:val="decimal"/>
      <w:suff w:val="space"/>
      <w:lvlText w:val="%1.2.%3."/>
      <w:lvlJc w:val="left"/>
      <w:pPr>
        <w:ind w:left="0" w:firstLine="0"/>
      </w:pPr>
      <w:rPr>
        <w:rFonts w:hint="eastAsia"/>
      </w:rPr>
    </w:lvl>
    <w:lvl w:ilvl="3" w:tentative="0">
      <w:start w:val="1"/>
      <w:numFmt w:val="decimal"/>
      <w:pStyle w:val="66"/>
      <w:suff w:val="space"/>
      <w:lvlText w:val="1.2.2.%4."/>
      <w:lvlJc w:val="left"/>
      <w:pPr>
        <w:ind w:left="0" w:firstLine="0"/>
      </w:pPr>
      <w:rPr>
        <w:rFonts w:hint="default" w:ascii="Times New Roman" w:hAnsi="Times New Roman"/>
        <w:b/>
        <w:spacing w:val="0"/>
        <w:sz w:val="24"/>
        <w:szCs w:val="28"/>
      </w:rPr>
    </w:lvl>
    <w:lvl w:ilvl="4" w:tentative="0">
      <w:start w:val="1"/>
      <w:numFmt w:val="decimal"/>
      <w:lvlText w:val="%1.%2.%3.%4.%5."/>
      <w:lvlJc w:val="left"/>
      <w:pPr>
        <w:tabs>
          <w:tab w:val="left" w:pos="1592"/>
        </w:tabs>
        <w:ind w:left="1592" w:hanging="992"/>
      </w:pPr>
      <w:rPr>
        <w:rFonts w:hint="eastAsia"/>
      </w:rPr>
    </w:lvl>
    <w:lvl w:ilvl="5" w:tentative="0">
      <w:start w:val="1"/>
      <w:numFmt w:val="decimal"/>
      <w:lvlText w:val="%1.%2.%3.%4.%5.%6."/>
      <w:lvlJc w:val="left"/>
      <w:pPr>
        <w:tabs>
          <w:tab w:val="left" w:pos="1734"/>
        </w:tabs>
        <w:ind w:left="1734" w:hanging="1134"/>
      </w:pPr>
      <w:rPr>
        <w:rFonts w:hint="eastAsia"/>
      </w:rPr>
    </w:lvl>
    <w:lvl w:ilvl="6" w:tentative="0">
      <w:start w:val="1"/>
      <w:numFmt w:val="decimal"/>
      <w:lvlText w:val="%1.%2.%3.%4.%5.%6.%7."/>
      <w:lvlJc w:val="left"/>
      <w:pPr>
        <w:tabs>
          <w:tab w:val="left" w:pos="1876"/>
        </w:tabs>
        <w:ind w:left="1876" w:hanging="1276"/>
      </w:pPr>
      <w:rPr>
        <w:rFonts w:hint="eastAsia"/>
      </w:rPr>
    </w:lvl>
    <w:lvl w:ilvl="7" w:tentative="0">
      <w:start w:val="1"/>
      <w:numFmt w:val="decimal"/>
      <w:lvlText w:val="%1.%2.%3.%4.%5.%6.%7.%8."/>
      <w:lvlJc w:val="left"/>
      <w:pPr>
        <w:tabs>
          <w:tab w:val="left" w:pos="2018"/>
        </w:tabs>
        <w:ind w:left="2018" w:hanging="1418"/>
      </w:pPr>
      <w:rPr>
        <w:rFonts w:hint="eastAsia"/>
      </w:rPr>
    </w:lvl>
    <w:lvl w:ilvl="8" w:tentative="0">
      <w:start w:val="1"/>
      <w:numFmt w:val="decimal"/>
      <w:lvlText w:val="%1.%2.%3.%4.%5.%6.%7.%8.%9."/>
      <w:lvlJc w:val="left"/>
      <w:pPr>
        <w:tabs>
          <w:tab w:val="left" w:pos="2159"/>
        </w:tabs>
        <w:ind w:left="2159" w:hanging="1559"/>
      </w:pPr>
      <w:rPr>
        <w:rFonts w:hint="eastAsia"/>
      </w:rPr>
    </w:lvl>
  </w:abstractNum>
  <w:abstractNum w:abstractNumId="20">
    <w:nsid w:val="56D33554"/>
    <w:multiLevelType w:val="multilevel"/>
    <w:tmpl w:val="56D33554"/>
    <w:lvl w:ilvl="0" w:tentative="0">
      <w:start w:val="1"/>
      <w:numFmt w:val="decimal"/>
      <w:pStyle w:val="29"/>
      <w:lvlText w:val="2.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5B6F7637"/>
    <w:multiLevelType w:val="multilevel"/>
    <w:tmpl w:val="5B6F7637"/>
    <w:lvl w:ilvl="0" w:tentative="0">
      <w:start w:val="1"/>
      <w:numFmt w:val="decimal"/>
      <w:pStyle w:val="87"/>
      <w:suff w:val="space"/>
      <w:lvlText w:val="4.2.3.%1."/>
      <w:lvlJc w:val="left"/>
      <w:pPr>
        <w:ind w:left="0" w:firstLine="0"/>
      </w:pPr>
      <w:rPr>
        <w:rFonts w:hint="eastAsia"/>
      </w:rPr>
    </w:lvl>
    <w:lvl w:ilvl="1" w:tentative="0">
      <w:start w:val="1"/>
      <w:numFmt w:val="decimal"/>
      <w:lvlText w:val="%1.%2."/>
      <w:lvlJc w:val="left"/>
      <w:pPr>
        <w:tabs>
          <w:tab w:val="left" w:pos="167"/>
        </w:tabs>
        <w:ind w:left="167" w:hanging="567"/>
      </w:pPr>
      <w:rPr>
        <w:rFonts w:hint="eastAsia" w:ascii="Times New Roman" w:hAnsi="Times New Roman" w:cs="Times New Roman"/>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2" w:tentative="0">
      <w:start w:val="1"/>
      <w:numFmt w:val="decimal"/>
      <w:pStyle w:val="86"/>
      <w:lvlText w:val="2.4.%3."/>
      <w:lvlJc w:val="left"/>
      <w:pPr>
        <w:tabs>
          <w:tab w:val="left" w:pos="170"/>
        </w:tabs>
        <w:ind w:left="0" w:firstLine="170"/>
      </w:pPr>
      <w:rPr>
        <w:rFonts w:hint="eastAsia"/>
      </w:rPr>
    </w:lvl>
    <w:lvl w:ilvl="3" w:tentative="0">
      <w:start w:val="1"/>
      <w:numFmt w:val="decimal"/>
      <w:lvlText w:val="%1.%2.%3.%4."/>
      <w:lvlJc w:val="left"/>
      <w:pPr>
        <w:tabs>
          <w:tab w:val="left" w:pos="451"/>
        </w:tabs>
        <w:ind w:left="451" w:hanging="851"/>
      </w:pPr>
      <w:rPr>
        <w:rFonts w:hint="eastAsia"/>
      </w:rPr>
    </w:lvl>
    <w:lvl w:ilvl="4" w:tentative="0">
      <w:start w:val="1"/>
      <w:numFmt w:val="decimal"/>
      <w:lvlText w:val="%1.%2.%3.%4.%5."/>
      <w:lvlJc w:val="left"/>
      <w:pPr>
        <w:tabs>
          <w:tab w:val="left" w:pos="592"/>
        </w:tabs>
        <w:ind w:left="592" w:hanging="992"/>
      </w:pPr>
      <w:rPr>
        <w:rFonts w:hint="eastAsia"/>
      </w:rPr>
    </w:lvl>
    <w:lvl w:ilvl="5" w:tentative="0">
      <w:start w:val="1"/>
      <w:numFmt w:val="decimal"/>
      <w:lvlText w:val="%1.%2.%3.%4.%5.%6."/>
      <w:lvlJc w:val="left"/>
      <w:pPr>
        <w:tabs>
          <w:tab w:val="left" w:pos="734"/>
        </w:tabs>
        <w:ind w:left="734" w:hanging="1134"/>
      </w:pPr>
      <w:rPr>
        <w:rFonts w:hint="eastAsia"/>
      </w:rPr>
    </w:lvl>
    <w:lvl w:ilvl="6" w:tentative="0">
      <w:start w:val="1"/>
      <w:numFmt w:val="decimal"/>
      <w:lvlText w:val="%1.%2.%3.%4.%5.%6.%7."/>
      <w:lvlJc w:val="left"/>
      <w:pPr>
        <w:tabs>
          <w:tab w:val="left" w:pos="876"/>
        </w:tabs>
        <w:ind w:left="876" w:hanging="1276"/>
      </w:pPr>
      <w:rPr>
        <w:rFonts w:hint="eastAsia"/>
      </w:rPr>
    </w:lvl>
    <w:lvl w:ilvl="7" w:tentative="0">
      <w:start w:val="1"/>
      <w:numFmt w:val="decimal"/>
      <w:lvlText w:val="%1.%2.%3.%4.%5.%6.%7.%8."/>
      <w:lvlJc w:val="left"/>
      <w:pPr>
        <w:tabs>
          <w:tab w:val="left" w:pos="1018"/>
        </w:tabs>
        <w:ind w:left="1018" w:hanging="1418"/>
      </w:pPr>
      <w:rPr>
        <w:rFonts w:hint="eastAsia"/>
      </w:rPr>
    </w:lvl>
    <w:lvl w:ilvl="8" w:tentative="0">
      <w:start w:val="1"/>
      <w:numFmt w:val="decimal"/>
      <w:lvlText w:val="%1.%2.%3.%4.%5.%6.%7.%8.%9."/>
      <w:lvlJc w:val="left"/>
      <w:pPr>
        <w:tabs>
          <w:tab w:val="left" w:pos="1159"/>
        </w:tabs>
        <w:ind w:left="1159" w:hanging="1559"/>
      </w:pPr>
      <w:rPr>
        <w:rFonts w:hint="eastAsia"/>
      </w:rPr>
    </w:lvl>
  </w:abstractNum>
  <w:abstractNum w:abstractNumId="22">
    <w:nsid w:val="5C9875F4"/>
    <w:multiLevelType w:val="multilevel"/>
    <w:tmpl w:val="5C9875F4"/>
    <w:lvl w:ilvl="0" w:tentative="0">
      <w:start w:val="1"/>
      <w:numFmt w:val="decimal"/>
      <w:pStyle w:val="37"/>
      <w:suff w:val="space"/>
      <w:lvlText w:val="%1."/>
      <w:lvlJc w:val="left"/>
      <w:pPr>
        <w:ind w:left="0" w:firstLine="0"/>
      </w:pPr>
      <w:rPr>
        <w:rFonts w:hint="default" w:ascii="Times New Roman" w:hAnsi="Times New Roman" w:cs="Times New Roman"/>
        <w:b/>
        <w:sz w:val="28"/>
      </w:rPr>
    </w:lvl>
    <w:lvl w:ilvl="1" w:tentative="0">
      <w:start w:val="1"/>
      <w:numFmt w:val="decimal"/>
      <w:pStyle w:val="36"/>
      <w:suff w:val="space"/>
      <w:lvlText w:val="%1.%2."/>
      <w:lvlJc w:val="left"/>
      <w:pPr>
        <w:ind w:left="141" w:firstLine="0"/>
      </w:pPr>
      <w:rPr>
        <w:rFonts w:hint="default" w:ascii="Times New Roman" w:hAnsi="Times New Roman" w:eastAsia="宋体" w:cs="Times New Roman"/>
        <w:b/>
        <w:bCs w:val="0"/>
        <w:i w:val="0"/>
        <w:iCs w:val="0"/>
        <w:caps w:val="0"/>
        <w:smallCaps w:val="0"/>
        <w:strike w:val="0"/>
        <w:dstrike w:val="0"/>
        <w:vanish w:val="0"/>
        <w:color w:val="000000"/>
        <w:spacing w:val="0"/>
        <w:position w:val="0"/>
        <w:sz w:val="24"/>
        <w:u w:val="none"/>
        <w:vertAlign w:val="baseline"/>
        <w14:shadow w14:blurRad="0" w14:dist="0" w14:dir="0" w14:sx="0" w14:sy="0" w14:kx="0" w14:ky="0" w14:algn="none">
          <w14:srgbClr w14:val="000000"/>
        </w14:shadow>
      </w:rPr>
    </w:lvl>
    <w:lvl w:ilvl="2" w:tentative="0">
      <w:start w:val="1"/>
      <w:numFmt w:val="decimal"/>
      <w:suff w:val="space"/>
      <w:lvlText w:val="%1.%2.%3."/>
      <w:lvlJc w:val="left"/>
      <w:pPr>
        <w:ind w:left="0" w:firstLine="0"/>
      </w:pPr>
      <w:rPr>
        <w:rFonts w:hint="eastAsia" w:ascii="Times New Roman"/>
      </w:rPr>
    </w:lvl>
    <w:lvl w:ilvl="3" w:tentative="0">
      <w:start w:val="1"/>
      <w:numFmt w:val="decimal"/>
      <w:lvlText w:val="%1.%2.%3.%4."/>
      <w:lvlJc w:val="left"/>
      <w:pPr>
        <w:tabs>
          <w:tab w:val="left" w:pos="1451"/>
        </w:tabs>
        <w:ind w:left="1451" w:hanging="851"/>
      </w:pPr>
      <w:rPr>
        <w:rFonts w:hint="eastAsia"/>
      </w:rPr>
    </w:lvl>
    <w:lvl w:ilvl="4" w:tentative="0">
      <w:start w:val="1"/>
      <w:numFmt w:val="decimal"/>
      <w:lvlText w:val="%1.%2.%3.%4.%5."/>
      <w:lvlJc w:val="left"/>
      <w:pPr>
        <w:tabs>
          <w:tab w:val="left" w:pos="1592"/>
        </w:tabs>
        <w:ind w:left="1592" w:hanging="992"/>
      </w:pPr>
      <w:rPr>
        <w:rFonts w:hint="eastAsia"/>
      </w:rPr>
    </w:lvl>
    <w:lvl w:ilvl="5" w:tentative="0">
      <w:start w:val="1"/>
      <w:numFmt w:val="decimal"/>
      <w:lvlText w:val="%1.%2.%3.%4.%5.%6."/>
      <w:lvlJc w:val="left"/>
      <w:pPr>
        <w:tabs>
          <w:tab w:val="left" w:pos="1734"/>
        </w:tabs>
        <w:ind w:left="1734" w:hanging="1134"/>
      </w:pPr>
      <w:rPr>
        <w:rFonts w:hint="eastAsia"/>
      </w:rPr>
    </w:lvl>
    <w:lvl w:ilvl="6" w:tentative="0">
      <w:start w:val="1"/>
      <w:numFmt w:val="decimal"/>
      <w:lvlText w:val="%1.%2.%3.%4.%5.%6.%7."/>
      <w:lvlJc w:val="left"/>
      <w:pPr>
        <w:tabs>
          <w:tab w:val="left" w:pos="1876"/>
        </w:tabs>
        <w:ind w:left="1876" w:hanging="1276"/>
      </w:pPr>
      <w:rPr>
        <w:rFonts w:hint="eastAsia"/>
      </w:rPr>
    </w:lvl>
    <w:lvl w:ilvl="7" w:tentative="0">
      <w:start w:val="1"/>
      <w:numFmt w:val="decimal"/>
      <w:lvlText w:val="%1.%2.%3.%4.%5.%6.%7.%8."/>
      <w:lvlJc w:val="left"/>
      <w:pPr>
        <w:tabs>
          <w:tab w:val="left" w:pos="2018"/>
        </w:tabs>
        <w:ind w:left="2018" w:hanging="1418"/>
      </w:pPr>
      <w:rPr>
        <w:rFonts w:hint="eastAsia"/>
      </w:rPr>
    </w:lvl>
    <w:lvl w:ilvl="8" w:tentative="0">
      <w:start w:val="1"/>
      <w:numFmt w:val="decimal"/>
      <w:lvlText w:val="%1.%2.%3.%4.%5.%6.%7.%8.%9."/>
      <w:lvlJc w:val="left"/>
      <w:pPr>
        <w:tabs>
          <w:tab w:val="left" w:pos="2159"/>
        </w:tabs>
        <w:ind w:left="2159" w:hanging="1559"/>
      </w:pPr>
      <w:rPr>
        <w:rFonts w:hint="eastAsia"/>
      </w:rPr>
    </w:lvl>
  </w:abstractNum>
  <w:abstractNum w:abstractNumId="23">
    <w:nsid w:val="5D362590"/>
    <w:multiLevelType w:val="multilevel"/>
    <w:tmpl w:val="5D362590"/>
    <w:lvl w:ilvl="0" w:tentative="0">
      <w:start w:val="1"/>
      <w:numFmt w:val="decimal"/>
      <w:pStyle w:val="80"/>
      <w:lvlText w:val="3.1.%1."/>
      <w:lvlJc w:val="left"/>
      <w:pPr>
        <w:tabs>
          <w:tab w:val="left" w:pos="0"/>
        </w:tabs>
        <w:ind w:left="0" w:firstLine="0"/>
      </w:pPr>
      <w:rPr>
        <w:rFonts w:hint="default" w:ascii="Times New Roman" w:hAnsi="Times New Roman"/>
        <w:b w:val="0"/>
        <w:i w:val="0"/>
        <w:sz w:val="28"/>
      </w:rPr>
    </w:lvl>
    <w:lvl w:ilvl="1" w:tentative="0">
      <w:start w:val="1"/>
      <w:numFmt w:val="decimal"/>
      <w:lvlText w:val="%1.%2."/>
      <w:lvlJc w:val="left"/>
      <w:pPr>
        <w:tabs>
          <w:tab w:val="left" w:pos="1077"/>
        </w:tabs>
        <w:ind w:left="1077" w:hanging="567"/>
      </w:pPr>
      <w:rPr>
        <w:rFonts w:hint="eastAsia"/>
      </w:rPr>
    </w:lvl>
    <w:lvl w:ilvl="2" w:tentative="0">
      <w:start w:val="1"/>
      <w:numFmt w:val="decimal"/>
      <w:lvlText w:val="%1.%2.%3."/>
      <w:lvlJc w:val="left"/>
      <w:pPr>
        <w:tabs>
          <w:tab w:val="left" w:pos="1219"/>
        </w:tabs>
        <w:ind w:left="1219" w:hanging="709"/>
      </w:pPr>
      <w:rPr>
        <w:rFonts w:hint="eastAsia"/>
      </w:rPr>
    </w:lvl>
    <w:lvl w:ilvl="3" w:tentative="0">
      <w:start w:val="1"/>
      <w:numFmt w:val="decimal"/>
      <w:lvlText w:val="%1.%2.%3.%4."/>
      <w:lvlJc w:val="left"/>
      <w:pPr>
        <w:tabs>
          <w:tab w:val="left" w:pos="1361"/>
        </w:tabs>
        <w:ind w:left="1361" w:hanging="851"/>
      </w:pPr>
      <w:rPr>
        <w:rFonts w:hint="eastAsia"/>
      </w:rPr>
    </w:lvl>
    <w:lvl w:ilvl="4" w:tentative="0">
      <w:start w:val="1"/>
      <w:numFmt w:val="decimal"/>
      <w:lvlText w:val="%1.%2.%3.%4.%5."/>
      <w:lvlJc w:val="left"/>
      <w:pPr>
        <w:tabs>
          <w:tab w:val="left" w:pos="1502"/>
        </w:tabs>
        <w:ind w:left="1502" w:hanging="992"/>
      </w:pPr>
      <w:rPr>
        <w:rFonts w:hint="eastAsia"/>
      </w:rPr>
    </w:lvl>
    <w:lvl w:ilvl="5" w:tentative="0">
      <w:start w:val="1"/>
      <w:numFmt w:val="decimal"/>
      <w:lvlText w:val="%1.%2.%3.%4.%5.%6."/>
      <w:lvlJc w:val="left"/>
      <w:pPr>
        <w:tabs>
          <w:tab w:val="left" w:pos="1644"/>
        </w:tabs>
        <w:ind w:left="1644" w:hanging="1134"/>
      </w:pPr>
      <w:rPr>
        <w:rFonts w:hint="eastAsia"/>
      </w:rPr>
    </w:lvl>
    <w:lvl w:ilvl="6" w:tentative="0">
      <w:start w:val="1"/>
      <w:numFmt w:val="decimal"/>
      <w:lvlText w:val="%1.%2.%3.%4.%5.%6.%7."/>
      <w:lvlJc w:val="left"/>
      <w:pPr>
        <w:tabs>
          <w:tab w:val="left" w:pos="1786"/>
        </w:tabs>
        <w:ind w:left="1786" w:hanging="1276"/>
      </w:pPr>
      <w:rPr>
        <w:rFonts w:hint="eastAsia"/>
      </w:rPr>
    </w:lvl>
    <w:lvl w:ilvl="7" w:tentative="0">
      <w:start w:val="1"/>
      <w:numFmt w:val="decimal"/>
      <w:lvlText w:val="%1.%2.%3.%4.%5.%6.%7.%8."/>
      <w:lvlJc w:val="left"/>
      <w:pPr>
        <w:tabs>
          <w:tab w:val="left" w:pos="1928"/>
        </w:tabs>
        <w:ind w:left="1928" w:hanging="1418"/>
      </w:pPr>
      <w:rPr>
        <w:rFonts w:hint="eastAsia"/>
      </w:rPr>
    </w:lvl>
    <w:lvl w:ilvl="8" w:tentative="0">
      <w:start w:val="1"/>
      <w:numFmt w:val="decimal"/>
      <w:lvlText w:val="%1.%2.%3.%4.%5.%6.%7.%8.%9."/>
      <w:lvlJc w:val="left"/>
      <w:pPr>
        <w:tabs>
          <w:tab w:val="left" w:pos="2069"/>
        </w:tabs>
        <w:ind w:left="2069" w:hanging="1559"/>
      </w:pPr>
      <w:rPr>
        <w:rFonts w:hint="eastAsia"/>
      </w:rPr>
    </w:lvl>
  </w:abstractNum>
  <w:abstractNum w:abstractNumId="24">
    <w:nsid w:val="5DEC7903"/>
    <w:multiLevelType w:val="multilevel"/>
    <w:tmpl w:val="5DEC7903"/>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ascii="Times New Roman" w:hAnsi="Times New Roman" w:cs="Times New Roman"/>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2" w:tentative="0">
      <w:start w:val="1"/>
      <w:numFmt w:val="decimal"/>
      <w:pStyle w:val="73"/>
      <w:lvlText w:val="6.4.%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5">
    <w:nsid w:val="63AB6C9A"/>
    <w:multiLevelType w:val="multilevel"/>
    <w:tmpl w:val="63AB6C9A"/>
    <w:lvl w:ilvl="0" w:tentative="0">
      <w:start w:val="1"/>
      <w:numFmt w:val="decimal"/>
      <w:pStyle w:val="59"/>
      <w:suff w:val="space"/>
      <w:lvlText w:val="4.1.4.%1."/>
      <w:lvlJc w:val="left"/>
      <w:pPr>
        <w:ind w:left="307" w:firstLine="0"/>
      </w:pPr>
      <w:rPr>
        <w:rFonts w:hint="default" w:ascii="Times New Roman" w:hAnsi="Times New Roman" w:eastAsia="宋体"/>
        <w:b w:val="0"/>
        <w:i w:val="0"/>
        <w:sz w:val="28"/>
      </w:rPr>
    </w:lvl>
    <w:lvl w:ilvl="1" w:tentative="0">
      <w:start w:val="1"/>
      <w:numFmt w:val="decimal"/>
      <w:lvlText w:val="%1.%2."/>
      <w:lvlJc w:val="left"/>
      <w:pPr>
        <w:tabs>
          <w:tab w:val="left" w:pos="1384"/>
        </w:tabs>
        <w:ind w:left="1384" w:hanging="567"/>
      </w:pPr>
      <w:rPr>
        <w:rFonts w:hint="eastAsia"/>
      </w:rPr>
    </w:lvl>
    <w:lvl w:ilvl="2" w:tentative="0">
      <w:start w:val="1"/>
      <w:numFmt w:val="decimal"/>
      <w:lvlText w:val="%1.%2.%3."/>
      <w:lvlJc w:val="left"/>
      <w:pPr>
        <w:tabs>
          <w:tab w:val="left" w:pos="1526"/>
        </w:tabs>
        <w:ind w:left="1526" w:hanging="709"/>
      </w:pPr>
      <w:rPr>
        <w:rFonts w:hint="eastAsia"/>
      </w:rPr>
    </w:lvl>
    <w:lvl w:ilvl="3" w:tentative="0">
      <w:start w:val="1"/>
      <w:numFmt w:val="decimal"/>
      <w:lvlText w:val="4.1.2.%4."/>
      <w:lvlJc w:val="left"/>
      <w:pPr>
        <w:tabs>
          <w:tab w:val="left" w:pos="307"/>
        </w:tabs>
        <w:ind w:left="307" w:firstLine="0"/>
      </w:pPr>
      <w:rPr>
        <w:rFonts w:hint="default" w:ascii="Times New Roman" w:hAnsi="Times New Roman"/>
        <w:b w:val="0"/>
        <w:i w:val="0"/>
        <w:sz w:val="28"/>
      </w:rPr>
    </w:lvl>
    <w:lvl w:ilvl="4" w:tentative="0">
      <w:start w:val="1"/>
      <w:numFmt w:val="decimal"/>
      <w:lvlText w:val="%1.%2.%3.%4.%5."/>
      <w:lvlJc w:val="left"/>
      <w:pPr>
        <w:tabs>
          <w:tab w:val="left" w:pos="1809"/>
        </w:tabs>
        <w:ind w:left="1809" w:hanging="992"/>
      </w:pPr>
      <w:rPr>
        <w:rFonts w:hint="eastAsia"/>
      </w:rPr>
    </w:lvl>
    <w:lvl w:ilvl="5" w:tentative="0">
      <w:start w:val="1"/>
      <w:numFmt w:val="decimal"/>
      <w:lvlText w:val="%1.%2.%3.%4.%5.%6."/>
      <w:lvlJc w:val="left"/>
      <w:pPr>
        <w:tabs>
          <w:tab w:val="left" w:pos="1951"/>
        </w:tabs>
        <w:ind w:left="1951" w:hanging="1134"/>
      </w:pPr>
      <w:rPr>
        <w:rFonts w:hint="eastAsia"/>
      </w:rPr>
    </w:lvl>
    <w:lvl w:ilvl="6" w:tentative="0">
      <w:start w:val="1"/>
      <w:numFmt w:val="decimal"/>
      <w:lvlText w:val="%1.%2.%3.%4.%5.%6.%7."/>
      <w:lvlJc w:val="left"/>
      <w:pPr>
        <w:tabs>
          <w:tab w:val="left" w:pos="2093"/>
        </w:tabs>
        <w:ind w:left="2093" w:hanging="1276"/>
      </w:pPr>
      <w:rPr>
        <w:rFonts w:hint="eastAsia"/>
      </w:rPr>
    </w:lvl>
    <w:lvl w:ilvl="7" w:tentative="0">
      <w:start w:val="1"/>
      <w:numFmt w:val="decimal"/>
      <w:lvlText w:val="%1.%2.%3.%4.%5.%6.%7.%8."/>
      <w:lvlJc w:val="left"/>
      <w:pPr>
        <w:tabs>
          <w:tab w:val="left" w:pos="2235"/>
        </w:tabs>
        <w:ind w:left="2235" w:hanging="1418"/>
      </w:pPr>
      <w:rPr>
        <w:rFonts w:hint="eastAsia"/>
      </w:rPr>
    </w:lvl>
    <w:lvl w:ilvl="8" w:tentative="0">
      <w:start w:val="1"/>
      <w:numFmt w:val="decimal"/>
      <w:lvlText w:val="%1.%2.%3.%4.%5.%6.%7.%8.%9."/>
      <w:lvlJc w:val="left"/>
      <w:pPr>
        <w:tabs>
          <w:tab w:val="left" w:pos="2376"/>
        </w:tabs>
        <w:ind w:left="2376" w:hanging="1559"/>
      </w:pPr>
      <w:rPr>
        <w:rFonts w:hint="eastAsia"/>
      </w:rPr>
    </w:lvl>
  </w:abstractNum>
  <w:abstractNum w:abstractNumId="26">
    <w:nsid w:val="67F57EAF"/>
    <w:multiLevelType w:val="multilevel"/>
    <w:tmpl w:val="67F57EAF"/>
    <w:lvl w:ilvl="0" w:tentative="0">
      <w:start w:val="1"/>
      <w:numFmt w:val="decimal"/>
      <w:suff w:val="space"/>
      <w:lvlText w:val="%1."/>
      <w:lvlJc w:val="left"/>
      <w:pPr>
        <w:ind w:left="0" w:firstLine="0"/>
      </w:pPr>
      <w:rPr>
        <w:rFonts w:hint="eastAsia"/>
      </w:rPr>
    </w:lvl>
    <w:lvl w:ilvl="1" w:tentative="0">
      <w:start w:val="1"/>
      <w:numFmt w:val="decimal"/>
      <w:suff w:val="space"/>
      <w:lvlText w:val="%1.%2."/>
      <w:lvlJc w:val="left"/>
      <w:pPr>
        <w:ind w:left="0" w:firstLine="0"/>
      </w:pPr>
      <w:rPr>
        <w:rFonts w:hint="eastAsia" w:ascii="Times New Roman" w:hAnsi="Times New Roman" w:cs="Times New Roman"/>
        <w:b w:val="0"/>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2" w:tentative="0">
      <w:start w:val="1"/>
      <w:numFmt w:val="decimal"/>
      <w:pStyle w:val="74"/>
      <w:suff w:val="space"/>
      <w:lvlText w:val="4.5.%3."/>
      <w:lvlJc w:val="left"/>
      <w:pPr>
        <w:ind w:left="0" w:firstLine="0"/>
      </w:pPr>
      <w:rPr>
        <w:rFonts w:hint="default" w:ascii="Times New Roman" w:hAnsi="Times New Roman"/>
        <w:spacing w:val="0"/>
        <w:sz w:val="28"/>
        <w:szCs w:val="28"/>
      </w:rPr>
    </w:lvl>
    <w:lvl w:ilvl="3" w:tentative="0">
      <w:start w:val="1"/>
      <w:numFmt w:val="decimal"/>
      <w:suff w:val="space"/>
      <w:lvlText w:val="1.2.4.%4."/>
      <w:lvlJc w:val="left"/>
      <w:pPr>
        <w:ind w:left="0" w:firstLine="0"/>
      </w:pPr>
      <w:rPr>
        <w:rFonts w:hint="eastAsia"/>
      </w:rPr>
    </w:lvl>
    <w:lvl w:ilvl="4" w:tentative="0">
      <w:start w:val="1"/>
      <w:numFmt w:val="decimal"/>
      <w:lvlText w:val="%1.%2.%3.%4.%5."/>
      <w:lvlJc w:val="left"/>
      <w:pPr>
        <w:tabs>
          <w:tab w:val="left" w:pos="1592"/>
        </w:tabs>
        <w:ind w:left="1592" w:hanging="992"/>
      </w:pPr>
      <w:rPr>
        <w:rFonts w:hint="eastAsia"/>
      </w:rPr>
    </w:lvl>
    <w:lvl w:ilvl="5" w:tentative="0">
      <w:start w:val="1"/>
      <w:numFmt w:val="decimal"/>
      <w:lvlText w:val="%1.%2.%3.%4.%5.%6."/>
      <w:lvlJc w:val="left"/>
      <w:pPr>
        <w:tabs>
          <w:tab w:val="left" w:pos="1734"/>
        </w:tabs>
        <w:ind w:left="1734" w:hanging="1134"/>
      </w:pPr>
      <w:rPr>
        <w:rFonts w:hint="eastAsia"/>
      </w:rPr>
    </w:lvl>
    <w:lvl w:ilvl="6" w:tentative="0">
      <w:start w:val="1"/>
      <w:numFmt w:val="decimal"/>
      <w:lvlText w:val="%1.%2.%3.%4.%5.%6.%7."/>
      <w:lvlJc w:val="left"/>
      <w:pPr>
        <w:tabs>
          <w:tab w:val="left" w:pos="1876"/>
        </w:tabs>
        <w:ind w:left="1876" w:hanging="1276"/>
      </w:pPr>
      <w:rPr>
        <w:rFonts w:hint="eastAsia"/>
      </w:rPr>
    </w:lvl>
    <w:lvl w:ilvl="7" w:tentative="0">
      <w:start w:val="1"/>
      <w:numFmt w:val="decimal"/>
      <w:lvlText w:val="%1.%2.%3.%4.%5.%6.%7.%8."/>
      <w:lvlJc w:val="left"/>
      <w:pPr>
        <w:tabs>
          <w:tab w:val="left" w:pos="2018"/>
        </w:tabs>
        <w:ind w:left="2018" w:hanging="1418"/>
      </w:pPr>
      <w:rPr>
        <w:rFonts w:hint="eastAsia"/>
      </w:rPr>
    </w:lvl>
    <w:lvl w:ilvl="8" w:tentative="0">
      <w:start w:val="1"/>
      <w:numFmt w:val="decimal"/>
      <w:lvlText w:val="%1.%2.%3.%4.%5.%6.%7.%8.%9."/>
      <w:lvlJc w:val="left"/>
      <w:pPr>
        <w:tabs>
          <w:tab w:val="left" w:pos="2159"/>
        </w:tabs>
        <w:ind w:left="2159" w:hanging="1559"/>
      </w:pPr>
      <w:rPr>
        <w:rFonts w:hint="eastAsia"/>
      </w:rPr>
    </w:lvl>
  </w:abstractNum>
  <w:abstractNum w:abstractNumId="27">
    <w:nsid w:val="68705023"/>
    <w:multiLevelType w:val="multilevel"/>
    <w:tmpl w:val="68705023"/>
    <w:lvl w:ilvl="0" w:tentative="0">
      <w:start w:val="1"/>
      <w:numFmt w:val="decimal"/>
      <w:pStyle w:val="71"/>
      <w:suff w:val="space"/>
      <w:lvlText w:val="4.2.2.%1."/>
      <w:lvlJc w:val="left"/>
      <w:pPr>
        <w:ind w:left="0" w:firstLine="0"/>
      </w:pPr>
      <w:rPr>
        <w:b w:val="0"/>
      </w:rPr>
    </w:lvl>
    <w:lvl w:ilvl="1" w:tentative="0">
      <w:start w:val="1"/>
      <w:numFmt w:val="decimal"/>
      <w:lvlText w:val="%1.%2."/>
      <w:lvlJc w:val="left"/>
      <w:pPr>
        <w:tabs>
          <w:tab w:val="left" w:pos="167"/>
        </w:tabs>
        <w:ind w:left="167" w:hanging="567"/>
      </w:pPr>
      <w:rPr>
        <w:rFonts w:ascii="Times New Roman" w:hAnsi="Times New Roman" w:cs="Times New Roman"/>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2" w:tentative="0">
      <w:start w:val="1"/>
      <w:numFmt w:val="decimal"/>
      <w:lvlText w:val="2.4.%3."/>
      <w:lvlJc w:val="left"/>
      <w:pPr>
        <w:tabs>
          <w:tab w:val="left" w:pos="170"/>
        </w:tabs>
        <w:ind w:left="0" w:firstLine="170"/>
      </w:pPr>
    </w:lvl>
    <w:lvl w:ilvl="3" w:tentative="0">
      <w:start w:val="1"/>
      <w:numFmt w:val="decimal"/>
      <w:lvlText w:val="%1.%2.%3.%4."/>
      <w:lvlJc w:val="left"/>
      <w:pPr>
        <w:tabs>
          <w:tab w:val="left" w:pos="451"/>
        </w:tabs>
        <w:ind w:left="451" w:hanging="851"/>
      </w:pPr>
    </w:lvl>
    <w:lvl w:ilvl="4" w:tentative="0">
      <w:start w:val="1"/>
      <w:numFmt w:val="decimal"/>
      <w:lvlText w:val="%1.%2.%3.%4.%5."/>
      <w:lvlJc w:val="left"/>
      <w:pPr>
        <w:tabs>
          <w:tab w:val="left" w:pos="592"/>
        </w:tabs>
        <w:ind w:left="592" w:hanging="992"/>
      </w:pPr>
    </w:lvl>
    <w:lvl w:ilvl="5" w:tentative="0">
      <w:start w:val="1"/>
      <w:numFmt w:val="decimal"/>
      <w:lvlText w:val="%1.%2.%3.%4.%5.%6."/>
      <w:lvlJc w:val="left"/>
      <w:pPr>
        <w:tabs>
          <w:tab w:val="left" w:pos="734"/>
        </w:tabs>
        <w:ind w:left="734" w:hanging="1134"/>
      </w:pPr>
    </w:lvl>
    <w:lvl w:ilvl="6" w:tentative="0">
      <w:start w:val="1"/>
      <w:numFmt w:val="decimal"/>
      <w:lvlText w:val="%1.%2.%3.%4.%5.%6.%7."/>
      <w:lvlJc w:val="left"/>
      <w:pPr>
        <w:tabs>
          <w:tab w:val="left" w:pos="876"/>
        </w:tabs>
        <w:ind w:left="876" w:hanging="1276"/>
      </w:pPr>
    </w:lvl>
    <w:lvl w:ilvl="7" w:tentative="0">
      <w:start w:val="1"/>
      <w:numFmt w:val="decimal"/>
      <w:lvlText w:val="%1.%2.%3.%4.%5.%6.%7.%8."/>
      <w:lvlJc w:val="left"/>
      <w:pPr>
        <w:tabs>
          <w:tab w:val="left" w:pos="1018"/>
        </w:tabs>
        <w:ind w:left="1018" w:hanging="1418"/>
      </w:pPr>
    </w:lvl>
    <w:lvl w:ilvl="8" w:tentative="0">
      <w:start w:val="1"/>
      <w:numFmt w:val="decimal"/>
      <w:lvlText w:val="%1.%2.%3.%4.%5.%6.%7.%8.%9."/>
      <w:lvlJc w:val="left"/>
      <w:pPr>
        <w:tabs>
          <w:tab w:val="left" w:pos="1159"/>
        </w:tabs>
        <w:ind w:left="1159" w:hanging="1559"/>
      </w:pPr>
    </w:lvl>
  </w:abstractNum>
  <w:abstractNum w:abstractNumId="28">
    <w:nsid w:val="6C9860EF"/>
    <w:multiLevelType w:val="multilevel"/>
    <w:tmpl w:val="6C9860EF"/>
    <w:lvl w:ilvl="0" w:tentative="0">
      <w:start w:val="1"/>
      <w:numFmt w:val="decimal"/>
      <w:pStyle w:val="88"/>
      <w:lvlText w:val="2.6.%1."/>
      <w:lvlJc w:val="righ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737176DC"/>
    <w:multiLevelType w:val="multilevel"/>
    <w:tmpl w:val="737176DC"/>
    <w:lvl w:ilvl="0" w:tentative="0">
      <w:start w:val="1"/>
      <w:numFmt w:val="decimal"/>
      <w:pStyle w:val="81"/>
      <w:lvlText w:val="3.3.%1."/>
      <w:lvlJc w:val="left"/>
      <w:pPr>
        <w:tabs>
          <w:tab w:val="left" w:pos="0"/>
        </w:tabs>
        <w:ind w:left="0" w:firstLine="0"/>
      </w:pPr>
      <w:rPr>
        <w:rFonts w:hint="default" w:ascii="Times New Roman" w:hAnsi="Times New Roman"/>
        <w:b/>
        <w:i w:val="0"/>
        <w:sz w:val="28"/>
      </w:rPr>
    </w:lvl>
    <w:lvl w:ilvl="1" w:tentative="0">
      <w:start w:val="1"/>
      <w:numFmt w:val="decimal"/>
      <w:lvlText w:val="%1.%2."/>
      <w:lvlJc w:val="left"/>
      <w:pPr>
        <w:tabs>
          <w:tab w:val="left" w:pos="1077"/>
        </w:tabs>
        <w:ind w:left="1077" w:hanging="567"/>
      </w:pPr>
      <w:rPr>
        <w:rFonts w:hint="eastAsia"/>
      </w:rPr>
    </w:lvl>
    <w:lvl w:ilvl="2" w:tentative="0">
      <w:start w:val="1"/>
      <w:numFmt w:val="decimal"/>
      <w:lvlText w:val="%1.%2.%3."/>
      <w:lvlJc w:val="left"/>
      <w:pPr>
        <w:tabs>
          <w:tab w:val="left" w:pos="1219"/>
        </w:tabs>
        <w:ind w:left="1219" w:hanging="709"/>
      </w:pPr>
      <w:rPr>
        <w:rFonts w:hint="eastAsia"/>
      </w:rPr>
    </w:lvl>
    <w:lvl w:ilvl="3" w:tentative="0">
      <w:start w:val="1"/>
      <w:numFmt w:val="decimal"/>
      <w:lvlText w:val="%1.%2.%3.%4."/>
      <w:lvlJc w:val="left"/>
      <w:pPr>
        <w:tabs>
          <w:tab w:val="left" w:pos="1361"/>
        </w:tabs>
        <w:ind w:left="1361" w:hanging="851"/>
      </w:pPr>
      <w:rPr>
        <w:rFonts w:hint="eastAsia"/>
      </w:rPr>
    </w:lvl>
    <w:lvl w:ilvl="4" w:tentative="0">
      <w:start w:val="1"/>
      <w:numFmt w:val="decimal"/>
      <w:lvlText w:val="%1.%2.%3.%4.%5."/>
      <w:lvlJc w:val="left"/>
      <w:pPr>
        <w:tabs>
          <w:tab w:val="left" w:pos="1502"/>
        </w:tabs>
        <w:ind w:left="1502" w:hanging="992"/>
      </w:pPr>
      <w:rPr>
        <w:rFonts w:hint="eastAsia"/>
      </w:rPr>
    </w:lvl>
    <w:lvl w:ilvl="5" w:tentative="0">
      <w:start w:val="1"/>
      <w:numFmt w:val="decimal"/>
      <w:lvlText w:val="%1.%2.%3.%4.%5.%6."/>
      <w:lvlJc w:val="left"/>
      <w:pPr>
        <w:tabs>
          <w:tab w:val="left" w:pos="1644"/>
        </w:tabs>
        <w:ind w:left="1644" w:hanging="1134"/>
      </w:pPr>
      <w:rPr>
        <w:rFonts w:hint="eastAsia"/>
      </w:rPr>
    </w:lvl>
    <w:lvl w:ilvl="6" w:tentative="0">
      <w:start w:val="1"/>
      <w:numFmt w:val="decimal"/>
      <w:lvlText w:val="%1.%2.%3.%4.%5.%6.%7."/>
      <w:lvlJc w:val="left"/>
      <w:pPr>
        <w:tabs>
          <w:tab w:val="left" w:pos="1786"/>
        </w:tabs>
        <w:ind w:left="1786" w:hanging="1276"/>
      </w:pPr>
      <w:rPr>
        <w:rFonts w:hint="eastAsia"/>
      </w:rPr>
    </w:lvl>
    <w:lvl w:ilvl="7" w:tentative="0">
      <w:start w:val="1"/>
      <w:numFmt w:val="decimal"/>
      <w:lvlText w:val="%1.%2.%3.%4.%5.%6.%7.%8."/>
      <w:lvlJc w:val="left"/>
      <w:pPr>
        <w:tabs>
          <w:tab w:val="left" w:pos="1928"/>
        </w:tabs>
        <w:ind w:left="1928" w:hanging="1418"/>
      </w:pPr>
      <w:rPr>
        <w:rFonts w:hint="eastAsia"/>
      </w:rPr>
    </w:lvl>
    <w:lvl w:ilvl="8" w:tentative="0">
      <w:start w:val="1"/>
      <w:numFmt w:val="decimal"/>
      <w:lvlText w:val="%1.%2.%3.%4.%5.%6.%7.%8.%9."/>
      <w:lvlJc w:val="left"/>
      <w:pPr>
        <w:tabs>
          <w:tab w:val="left" w:pos="2069"/>
        </w:tabs>
        <w:ind w:left="2069" w:hanging="1559"/>
      </w:pPr>
      <w:rPr>
        <w:rFonts w:hint="eastAsia"/>
      </w:rPr>
    </w:lvl>
  </w:abstractNum>
  <w:num w:numId="1">
    <w:abstractNumId w:val="20"/>
  </w:num>
  <w:num w:numId="2">
    <w:abstractNumId w:val="22"/>
  </w:num>
  <w:num w:numId="3">
    <w:abstractNumId w:val="11"/>
  </w:num>
  <w:num w:numId="4">
    <w:abstractNumId w:val="17"/>
  </w:num>
  <w:num w:numId="5">
    <w:abstractNumId w:val="2"/>
  </w:num>
  <w:num w:numId="6">
    <w:abstractNumId w:val="12"/>
  </w:num>
  <w:num w:numId="7">
    <w:abstractNumId w:val="13"/>
  </w:num>
  <w:num w:numId="8">
    <w:abstractNumId w:val="8"/>
  </w:num>
  <w:num w:numId="9">
    <w:abstractNumId w:val="25"/>
  </w:num>
  <w:num w:numId="10">
    <w:abstractNumId w:val="3"/>
  </w:num>
  <w:num w:numId="11">
    <w:abstractNumId w:val="10"/>
  </w:num>
  <w:num w:numId="12">
    <w:abstractNumId w:val="15"/>
  </w:num>
  <w:num w:numId="13">
    <w:abstractNumId w:val="18"/>
  </w:num>
  <w:num w:numId="14">
    <w:abstractNumId w:val="9"/>
  </w:num>
  <w:num w:numId="15">
    <w:abstractNumId w:val="19"/>
  </w:num>
  <w:num w:numId="16">
    <w:abstractNumId w:val="4"/>
  </w:num>
  <w:num w:numId="1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num>
  <w:num w:numId="19">
    <w:abstractNumId w:val="24"/>
  </w:num>
  <w:num w:numId="20">
    <w:abstractNumId w:val="26"/>
  </w:num>
  <w:num w:numId="21">
    <w:abstractNumId w:val="7"/>
  </w:num>
  <w:num w:numId="22">
    <w:abstractNumId w:val="16"/>
  </w:num>
  <w:num w:numId="23">
    <w:abstractNumId w:val="23"/>
  </w:num>
  <w:num w:numId="24">
    <w:abstractNumId w:val="29"/>
  </w:num>
  <w:num w:numId="25">
    <w:abstractNumId w:val="14"/>
  </w:num>
  <w:num w:numId="26">
    <w:abstractNumId w:val="0"/>
  </w:num>
  <w:num w:numId="27">
    <w:abstractNumId w:val="6"/>
  </w:num>
  <w:num w:numId="28">
    <w:abstractNumId w:val="21"/>
  </w:num>
  <w:num w:numId="29">
    <w:abstractNumId w:val="28"/>
  </w:num>
  <w:num w:numId="3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60"/>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2AFA"/>
    <w:rsid w:val="000004C4"/>
    <w:rsid w:val="00000DE0"/>
    <w:rsid w:val="0000126C"/>
    <w:rsid w:val="00001530"/>
    <w:rsid w:val="00001CD1"/>
    <w:rsid w:val="00001DE6"/>
    <w:rsid w:val="000026F9"/>
    <w:rsid w:val="000027F2"/>
    <w:rsid w:val="00002B7E"/>
    <w:rsid w:val="00002E7C"/>
    <w:rsid w:val="000030E6"/>
    <w:rsid w:val="000032AA"/>
    <w:rsid w:val="0000331C"/>
    <w:rsid w:val="0000391E"/>
    <w:rsid w:val="00004062"/>
    <w:rsid w:val="0000429E"/>
    <w:rsid w:val="00004B78"/>
    <w:rsid w:val="00004D80"/>
    <w:rsid w:val="00004D84"/>
    <w:rsid w:val="000050C8"/>
    <w:rsid w:val="0000553A"/>
    <w:rsid w:val="00005DD2"/>
    <w:rsid w:val="00006318"/>
    <w:rsid w:val="000066E6"/>
    <w:rsid w:val="00007802"/>
    <w:rsid w:val="00007BD6"/>
    <w:rsid w:val="00007BF0"/>
    <w:rsid w:val="000112C4"/>
    <w:rsid w:val="000112EF"/>
    <w:rsid w:val="000117EF"/>
    <w:rsid w:val="00013292"/>
    <w:rsid w:val="0001381A"/>
    <w:rsid w:val="0001400E"/>
    <w:rsid w:val="000149C5"/>
    <w:rsid w:val="00015B72"/>
    <w:rsid w:val="00015F00"/>
    <w:rsid w:val="000167D3"/>
    <w:rsid w:val="00016BD0"/>
    <w:rsid w:val="00016C51"/>
    <w:rsid w:val="00016C90"/>
    <w:rsid w:val="00016E2D"/>
    <w:rsid w:val="00016F6E"/>
    <w:rsid w:val="000178A8"/>
    <w:rsid w:val="0002014A"/>
    <w:rsid w:val="00020660"/>
    <w:rsid w:val="0002092E"/>
    <w:rsid w:val="000210D9"/>
    <w:rsid w:val="00021466"/>
    <w:rsid w:val="0002193D"/>
    <w:rsid w:val="00021E27"/>
    <w:rsid w:val="000225D6"/>
    <w:rsid w:val="000226AE"/>
    <w:rsid w:val="00022BB9"/>
    <w:rsid w:val="00022D39"/>
    <w:rsid w:val="00023328"/>
    <w:rsid w:val="00023F6E"/>
    <w:rsid w:val="00024B3C"/>
    <w:rsid w:val="00024DB0"/>
    <w:rsid w:val="000263A8"/>
    <w:rsid w:val="000265FE"/>
    <w:rsid w:val="00026680"/>
    <w:rsid w:val="000266D0"/>
    <w:rsid w:val="00026758"/>
    <w:rsid w:val="00026BC7"/>
    <w:rsid w:val="00026D80"/>
    <w:rsid w:val="00027710"/>
    <w:rsid w:val="0002775C"/>
    <w:rsid w:val="00030386"/>
    <w:rsid w:val="0003043E"/>
    <w:rsid w:val="00030CEA"/>
    <w:rsid w:val="00031574"/>
    <w:rsid w:val="00031981"/>
    <w:rsid w:val="000319CB"/>
    <w:rsid w:val="00031D97"/>
    <w:rsid w:val="000332F4"/>
    <w:rsid w:val="00033409"/>
    <w:rsid w:val="00033F25"/>
    <w:rsid w:val="00034270"/>
    <w:rsid w:val="00034360"/>
    <w:rsid w:val="00034E93"/>
    <w:rsid w:val="000359E4"/>
    <w:rsid w:val="00035EBC"/>
    <w:rsid w:val="000363CB"/>
    <w:rsid w:val="00036B51"/>
    <w:rsid w:val="00037A64"/>
    <w:rsid w:val="00037D73"/>
    <w:rsid w:val="000401E3"/>
    <w:rsid w:val="00041278"/>
    <w:rsid w:val="00041301"/>
    <w:rsid w:val="00041E95"/>
    <w:rsid w:val="00041EED"/>
    <w:rsid w:val="00042C0E"/>
    <w:rsid w:val="00042E2F"/>
    <w:rsid w:val="000434CB"/>
    <w:rsid w:val="000439D6"/>
    <w:rsid w:val="00043FB0"/>
    <w:rsid w:val="0004439C"/>
    <w:rsid w:val="000445CD"/>
    <w:rsid w:val="00045FF8"/>
    <w:rsid w:val="00046190"/>
    <w:rsid w:val="00047F3D"/>
    <w:rsid w:val="000504EE"/>
    <w:rsid w:val="00050EC6"/>
    <w:rsid w:val="000516D9"/>
    <w:rsid w:val="00051B21"/>
    <w:rsid w:val="00051BC2"/>
    <w:rsid w:val="00051CC6"/>
    <w:rsid w:val="00052360"/>
    <w:rsid w:val="000530A3"/>
    <w:rsid w:val="000531E2"/>
    <w:rsid w:val="00053269"/>
    <w:rsid w:val="000537E2"/>
    <w:rsid w:val="00054122"/>
    <w:rsid w:val="00054B4E"/>
    <w:rsid w:val="00054C79"/>
    <w:rsid w:val="0005559E"/>
    <w:rsid w:val="000556D6"/>
    <w:rsid w:val="00055DE2"/>
    <w:rsid w:val="000567E1"/>
    <w:rsid w:val="00056D10"/>
    <w:rsid w:val="00057485"/>
    <w:rsid w:val="000574FE"/>
    <w:rsid w:val="0005767C"/>
    <w:rsid w:val="00057956"/>
    <w:rsid w:val="00057AF3"/>
    <w:rsid w:val="0006048A"/>
    <w:rsid w:val="00060B84"/>
    <w:rsid w:val="00060DF1"/>
    <w:rsid w:val="00061381"/>
    <w:rsid w:val="0006149E"/>
    <w:rsid w:val="000614D8"/>
    <w:rsid w:val="00061FFA"/>
    <w:rsid w:val="000621A8"/>
    <w:rsid w:val="0006239C"/>
    <w:rsid w:val="000631B8"/>
    <w:rsid w:val="0006335E"/>
    <w:rsid w:val="00063774"/>
    <w:rsid w:val="0006443E"/>
    <w:rsid w:val="000644CA"/>
    <w:rsid w:val="00064AF1"/>
    <w:rsid w:val="00064CA1"/>
    <w:rsid w:val="00064FCB"/>
    <w:rsid w:val="000654C5"/>
    <w:rsid w:val="00065596"/>
    <w:rsid w:val="00066D4B"/>
    <w:rsid w:val="00066E04"/>
    <w:rsid w:val="00067343"/>
    <w:rsid w:val="00067A24"/>
    <w:rsid w:val="0007168F"/>
    <w:rsid w:val="00071999"/>
    <w:rsid w:val="0007211B"/>
    <w:rsid w:val="000725AA"/>
    <w:rsid w:val="00072854"/>
    <w:rsid w:val="00072DD7"/>
    <w:rsid w:val="00073CAF"/>
    <w:rsid w:val="000747A1"/>
    <w:rsid w:val="00074C3D"/>
    <w:rsid w:val="00074DC7"/>
    <w:rsid w:val="000750CA"/>
    <w:rsid w:val="00075932"/>
    <w:rsid w:val="00075B63"/>
    <w:rsid w:val="000761D8"/>
    <w:rsid w:val="0007685C"/>
    <w:rsid w:val="00076A9A"/>
    <w:rsid w:val="00076D62"/>
    <w:rsid w:val="00077200"/>
    <w:rsid w:val="000805DF"/>
    <w:rsid w:val="00080934"/>
    <w:rsid w:val="00080D63"/>
    <w:rsid w:val="00081233"/>
    <w:rsid w:val="00081B80"/>
    <w:rsid w:val="00081CDC"/>
    <w:rsid w:val="00082CCA"/>
    <w:rsid w:val="00082EE5"/>
    <w:rsid w:val="0008303B"/>
    <w:rsid w:val="000837AB"/>
    <w:rsid w:val="000837BB"/>
    <w:rsid w:val="00083929"/>
    <w:rsid w:val="00084234"/>
    <w:rsid w:val="000847AE"/>
    <w:rsid w:val="00084AF3"/>
    <w:rsid w:val="00084B56"/>
    <w:rsid w:val="00084EE1"/>
    <w:rsid w:val="00085A4A"/>
    <w:rsid w:val="00085BD0"/>
    <w:rsid w:val="00085D43"/>
    <w:rsid w:val="00086330"/>
    <w:rsid w:val="00086587"/>
    <w:rsid w:val="00086697"/>
    <w:rsid w:val="00086778"/>
    <w:rsid w:val="000867F1"/>
    <w:rsid w:val="000868F6"/>
    <w:rsid w:val="00086EE0"/>
    <w:rsid w:val="00086EED"/>
    <w:rsid w:val="00087DE3"/>
    <w:rsid w:val="00090315"/>
    <w:rsid w:val="000904FB"/>
    <w:rsid w:val="000909CE"/>
    <w:rsid w:val="00091123"/>
    <w:rsid w:val="00092289"/>
    <w:rsid w:val="000922CE"/>
    <w:rsid w:val="00092A74"/>
    <w:rsid w:val="000938CC"/>
    <w:rsid w:val="00094009"/>
    <w:rsid w:val="0009441E"/>
    <w:rsid w:val="000945B2"/>
    <w:rsid w:val="000945F5"/>
    <w:rsid w:val="00094702"/>
    <w:rsid w:val="000947F5"/>
    <w:rsid w:val="00095239"/>
    <w:rsid w:val="0009560B"/>
    <w:rsid w:val="00095A10"/>
    <w:rsid w:val="00095C59"/>
    <w:rsid w:val="00096091"/>
    <w:rsid w:val="00096230"/>
    <w:rsid w:val="00096301"/>
    <w:rsid w:val="0009641D"/>
    <w:rsid w:val="00096589"/>
    <w:rsid w:val="00096863"/>
    <w:rsid w:val="00097212"/>
    <w:rsid w:val="000A098E"/>
    <w:rsid w:val="000A09EF"/>
    <w:rsid w:val="000A0C6B"/>
    <w:rsid w:val="000A0FAA"/>
    <w:rsid w:val="000A113E"/>
    <w:rsid w:val="000A16ED"/>
    <w:rsid w:val="000A1C75"/>
    <w:rsid w:val="000A2CAE"/>
    <w:rsid w:val="000A2D9B"/>
    <w:rsid w:val="000A2FAC"/>
    <w:rsid w:val="000A41A0"/>
    <w:rsid w:val="000A4638"/>
    <w:rsid w:val="000A5146"/>
    <w:rsid w:val="000A52F9"/>
    <w:rsid w:val="000A541A"/>
    <w:rsid w:val="000A5AA5"/>
    <w:rsid w:val="000A641D"/>
    <w:rsid w:val="000A6D2F"/>
    <w:rsid w:val="000A70DD"/>
    <w:rsid w:val="000A7518"/>
    <w:rsid w:val="000A7A48"/>
    <w:rsid w:val="000A7B5E"/>
    <w:rsid w:val="000B099B"/>
    <w:rsid w:val="000B0C49"/>
    <w:rsid w:val="000B0CE6"/>
    <w:rsid w:val="000B0EA1"/>
    <w:rsid w:val="000B1788"/>
    <w:rsid w:val="000B1D65"/>
    <w:rsid w:val="000B2128"/>
    <w:rsid w:val="000B335D"/>
    <w:rsid w:val="000B48F1"/>
    <w:rsid w:val="000B4B22"/>
    <w:rsid w:val="000B4B25"/>
    <w:rsid w:val="000B50A1"/>
    <w:rsid w:val="000B5C48"/>
    <w:rsid w:val="000B68D6"/>
    <w:rsid w:val="000B6C90"/>
    <w:rsid w:val="000B7826"/>
    <w:rsid w:val="000B7DB2"/>
    <w:rsid w:val="000B7F4E"/>
    <w:rsid w:val="000C133A"/>
    <w:rsid w:val="000C207B"/>
    <w:rsid w:val="000C2189"/>
    <w:rsid w:val="000C262F"/>
    <w:rsid w:val="000C2B92"/>
    <w:rsid w:val="000C316D"/>
    <w:rsid w:val="000C33EE"/>
    <w:rsid w:val="000C38D2"/>
    <w:rsid w:val="000C3DD8"/>
    <w:rsid w:val="000C4873"/>
    <w:rsid w:val="000C563C"/>
    <w:rsid w:val="000C5D8A"/>
    <w:rsid w:val="000C627D"/>
    <w:rsid w:val="000C6D36"/>
    <w:rsid w:val="000C7317"/>
    <w:rsid w:val="000D00A4"/>
    <w:rsid w:val="000D0532"/>
    <w:rsid w:val="000D117F"/>
    <w:rsid w:val="000D18AF"/>
    <w:rsid w:val="000D2143"/>
    <w:rsid w:val="000D21C7"/>
    <w:rsid w:val="000D2476"/>
    <w:rsid w:val="000D28C7"/>
    <w:rsid w:val="000D2AAF"/>
    <w:rsid w:val="000D3139"/>
    <w:rsid w:val="000D316A"/>
    <w:rsid w:val="000D36A3"/>
    <w:rsid w:val="000D37BF"/>
    <w:rsid w:val="000D4565"/>
    <w:rsid w:val="000D4ECA"/>
    <w:rsid w:val="000D5000"/>
    <w:rsid w:val="000D516F"/>
    <w:rsid w:val="000D54FB"/>
    <w:rsid w:val="000D6118"/>
    <w:rsid w:val="000E0810"/>
    <w:rsid w:val="000E0A13"/>
    <w:rsid w:val="000E1176"/>
    <w:rsid w:val="000E2247"/>
    <w:rsid w:val="000E2630"/>
    <w:rsid w:val="000E285A"/>
    <w:rsid w:val="000E3E5F"/>
    <w:rsid w:val="000E47A0"/>
    <w:rsid w:val="000E4DEF"/>
    <w:rsid w:val="000E5128"/>
    <w:rsid w:val="000E5E03"/>
    <w:rsid w:val="000E626B"/>
    <w:rsid w:val="000E67CB"/>
    <w:rsid w:val="000E68D3"/>
    <w:rsid w:val="000E7BAF"/>
    <w:rsid w:val="000F0067"/>
    <w:rsid w:val="000F1BAD"/>
    <w:rsid w:val="000F21F9"/>
    <w:rsid w:val="000F30F9"/>
    <w:rsid w:val="000F3EC7"/>
    <w:rsid w:val="000F54DB"/>
    <w:rsid w:val="000F54DD"/>
    <w:rsid w:val="0010075B"/>
    <w:rsid w:val="001008F9"/>
    <w:rsid w:val="00100A0C"/>
    <w:rsid w:val="0010104E"/>
    <w:rsid w:val="001012CA"/>
    <w:rsid w:val="00101432"/>
    <w:rsid w:val="00102C1D"/>
    <w:rsid w:val="00103313"/>
    <w:rsid w:val="00103F0E"/>
    <w:rsid w:val="00103FFA"/>
    <w:rsid w:val="001052C7"/>
    <w:rsid w:val="001052EB"/>
    <w:rsid w:val="001053DE"/>
    <w:rsid w:val="00105493"/>
    <w:rsid w:val="001058B5"/>
    <w:rsid w:val="00106090"/>
    <w:rsid w:val="00106AE8"/>
    <w:rsid w:val="00106D58"/>
    <w:rsid w:val="00107AB2"/>
    <w:rsid w:val="00107FD1"/>
    <w:rsid w:val="001101E9"/>
    <w:rsid w:val="00110649"/>
    <w:rsid w:val="00110AED"/>
    <w:rsid w:val="00110B22"/>
    <w:rsid w:val="00110FCD"/>
    <w:rsid w:val="00111101"/>
    <w:rsid w:val="00111C33"/>
    <w:rsid w:val="00111C56"/>
    <w:rsid w:val="001123B7"/>
    <w:rsid w:val="00112572"/>
    <w:rsid w:val="001126F3"/>
    <w:rsid w:val="001129A4"/>
    <w:rsid w:val="0011343A"/>
    <w:rsid w:val="0011366A"/>
    <w:rsid w:val="00113773"/>
    <w:rsid w:val="00113EA0"/>
    <w:rsid w:val="00114FC9"/>
    <w:rsid w:val="00115675"/>
    <w:rsid w:val="0011614B"/>
    <w:rsid w:val="00116251"/>
    <w:rsid w:val="0011629A"/>
    <w:rsid w:val="001164E5"/>
    <w:rsid w:val="0011651D"/>
    <w:rsid w:val="00116AAC"/>
    <w:rsid w:val="00116C68"/>
    <w:rsid w:val="001176D9"/>
    <w:rsid w:val="0011770B"/>
    <w:rsid w:val="00117E5D"/>
    <w:rsid w:val="00117E6A"/>
    <w:rsid w:val="001202C7"/>
    <w:rsid w:val="00120D98"/>
    <w:rsid w:val="00121FD9"/>
    <w:rsid w:val="0012251D"/>
    <w:rsid w:val="0012288A"/>
    <w:rsid w:val="001235C1"/>
    <w:rsid w:val="00123873"/>
    <w:rsid w:val="0012405B"/>
    <w:rsid w:val="00124D6D"/>
    <w:rsid w:val="001256F3"/>
    <w:rsid w:val="001257D8"/>
    <w:rsid w:val="00125834"/>
    <w:rsid w:val="00125CBC"/>
    <w:rsid w:val="00126900"/>
    <w:rsid w:val="00126B74"/>
    <w:rsid w:val="00127FD2"/>
    <w:rsid w:val="001306E3"/>
    <w:rsid w:val="00130B99"/>
    <w:rsid w:val="00131A04"/>
    <w:rsid w:val="001322BA"/>
    <w:rsid w:val="0013232C"/>
    <w:rsid w:val="00132373"/>
    <w:rsid w:val="001336C1"/>
    <w:rsid w:val="00133B93"/>
    <w:rsid w:val="00133CE1"/>
    <w:rsid w:val="0013466D"/>
    <w:rsid w:val="001348B3"/>
    <w:rsid w:val="00134E16"/>
    <w:rsid w:val="00134F0C"/>
    <w:rsid w:val="00134FCF"/>
    <w:rsid w:val="00135469"/>
    <w:rsid w:val="001359FE"/>
    <w:rsid w:val="00135A81"/>
    <w:rsid w:val="00135C4A"/>
    <w:rsid w:val="00135CE9"/>
    <w:rsid w:val="001361CC"/>
    <w:rsid w:val="00136613"/>
    <w:rsid w:val="00136634"/>
    <w:rsid w:val="00136CFE"/>
    <w:rsid w:val="001376EF"/>
    <w:rsid w:val="00137AF3"/>
    <w:rsid w:val="00137B6B"/>
    <w:rsid w:val="001407E5"/>
    <w:rsid w:val="001416AB"/>
    <w:rsid w:val="00141734"/>
    <w:rsid w:val="00141BDE"/>
    <w:rsid w:val="00141C3B"/>
    <w:rsid w:val="00141F78"/>
    <w:rsid w:val="0014219C"/>
    <w:rsid w:val="00142623"/>
    <w:rsid w:val="00142A89"/>
    <w:rsid w:val="00142DE4"/>
    <w:rsid w:val="00143412"/>
    <w:rsid w:val="00143D23"/>
    <w:rsid w:val="0014442B"/>
    <w:rsid w:val="00144DAC"/>
    <w:rsid w:val="0014613D"/>
    <w:rsid w:val="0014652D"/>
    <w:rsid w:val="00146F7D"/>
    <w:rsid w:val="0014791A"/>
    <w:rsid w:val="0014794F"/>
    <w:rsid w:val="001508C1"/>
    <w:rsid w:val="00150954"/>
    <w:rsid w:val="001517A9"/>
    <w:rsid w:val="00151E31"/>
    <w:rsid w:val="00152953"/>
    <w:rsid w:val="00152C11"/>
    <w:rsid w:val="00155A8B"/>
    <w:rsid w:val="00155F0F"/>
    <w:rsid w:val="00155FA5"/>
    <w:rsid w:val="00156C92"/>
    <w:rsid w:val="001575FF"/>
    <w:rsid w:val="00157C46"/>
    <w:rsid w:val="001603DA"/>
    <w:rsid w:val="001604AE"/>
    <w:rsid w:val="00160650"/>
    <w:rsid w:val="00160D49"/>
    <w:rsid w:val="00160F5D"/>
    <w:rsid w:val="001615F8"/>
    <w:rsid w:val="0016195D"/>
    <w:rsid w:val="00162AA7"/>
    <w:rsid w:val="00162E3E"/>
    <w:rsid w:val="00163B87"/>
    <w:rsid w:val="001640CF"/>
    <w:rsid w:val="00164888"/>
    <w:rsid w:val="00164DAF"/>
    <w:rsid w:val="00165283"/>
    <w:rsid w:val="001656AF"/>
    <w:rsid w:val="00165EDA"/>
    <w:rsid w:val="00165FFE"/>
    <w:rsid w:val="00166459"/>
    <w:rsid w:val="00166F1B"/>
    <w:rsid w:val="00167682"/>
    <w:rsid w:val="00167A0E"/>
    <w:rsid w:val="00170501"/>
    <w:rsid w:val="001706B7"/>
    <w:rsid w:val="00170837"/>
    <w:rsid w:val="00170B65"/>
    <w:rsid w:val="00171D59"/>
    <w:rsid w:val="00171FB1"/>
    <w:rsid w:val="00172656"/>
    <w:rsid w:val="001727C8"/>
    <w:rsid w:val="0017398B"/>
    <w:rsid w:val="0017412A"/>
    <w:rsid w:val="001741E2"/>
    <w:rsid w:val="001747C6"/>
    <w:rsid w:val="00175E10"/>
    <w:rsid w:val="0017639E"/>
    <w:rsid w:val="00176EFB"/>
    <w:rsid w:val="001777A4"/>
    <w:rsid w:val="00177BA9"/>
    <w:rsid w:val="00180103"/>
    <w:rsid w:val="001801AA"/>
    <w:rsid w:val="001803F5"/>
    <w:rsid w:val="001810AF"/>
    <w:rsid w:val="001811EF"/>
    <w:rsid w:val="00181941"/>
    <w:rsid w:val="00183573"/>
    <w:rsid w:val="001839D4"/>
    <w:rsid w:val="001850B1"/>
    <w:rsid w:val="0018563F"/>
    <w:rsid w:val="00185DE7"/>
    <w:rsid w:val="00186230"/>
    <w:rsid w:val="00186359"/>
    <w:rsid w:val="001866DC"/>
    <w:rsid w:val="00186F16"/>
    <w:rsid w:val="00187028"/>
    <w:rsid w:val="001873DA"/>
    <w:rsid w:val="001879A9"/>
    <w:rsid w:val="00187ADE"/>
    <w:rsid w:val="0019071A"/>
    <w:rsid w:val="0019075C"/>
    <w:rsid w:val="00190CA3"/>
    <w:rsid w:val="001911C8"/>
    <w:rsid w:val="00191394"/>
    <w:rsid w:val="001919FD"/>
    <w:rsid w:val="0019281C"/>
    <w:rsid w:val="001928BB"/>
    <w:rsid w:val="00192CD0"/>
    <w:rsid w:val="001941B6"/>
    <w:rsid w:val="0019423E"/>
    <w:rsid w:val="001944B4"/>
    <w:rsid w:val="001944BE"/>
    <w:rsid w:val="00194AC4"/>
    <w:rsid w:val="00194C32"/>
    <w:rsid w:val="00195A82"/>
    <w:rsid w:val="00195AF6"/>
    <w:rsid w:val="0019629E"/>
    <w:rsid w:val="0019737D"/>
    <w:rsid w:val="001973D0"/>
    <w:rsid w:val="00197665"/>
    <w:rsid w:val="001A037A"/>
    <w:rsid w:val="001A0542"/>
    <w:rsid w:val="001A0619"/>
    <w:rsid w:val="001A088E"/>
    <w:rsid w:val="001A09C8"/>
    <w:rsid w:val="001A0C61"/>
    <w:rsid w:val="001A151F"/>
    <w:rsid w:val="001A16B2"/>
    <w:rsid w:val="001A1A75"/>
    <w:rsid w:val="001A2709"/>
    <w:rsid w:val="001A2A96"/>
    <w:rsid w:val="001A2CE4"/>
    <w:rsid w:val="001A2D06"/>
    <w:rsid w:val="001A2E9E"/>
    <w:rsid w:val="001A3248"/>
    <w:rsid w:val="001A33B5"/>
    <w:rsid w:val="001A37E5"/>
    <w:rsid w:val="001A3D8D"/>
    <w:rsid w:val="001A46F5"/>
    <w:rsid w:val="001A48A5"/>
    <w:rsid w:val="001A4E94"/>
    <w:rsid w:val="001A56B8"/>
    <w:rsid w:val="001A59FA"/>
    <w:rsid w:val="001A5CB7"/>
    <w:rsid w:val="001A63A2"/>
    <w:rsid w:val="001A6512"/>
    <w:rsid w:val="001A684F"/>
    <w:rsid w:val="001A7283"/>
    <w:rsid w:val="001A750A"/>
    <w:rsid w:val="001A75E7"/>
    <w:rsid w:val="001A7A4D"/>
    <w:rsid w:val="001A7C1A"/>
    <w:rsid w:val="001B0566"/>
    <w:rsid w:val="001B0834"/>
    <w:rsid w:val="001B093A"/>
    <w:rsid w:val="001B179D"/>
    <w:rsid w:val="001B1829"/>
    <w:rsid w:val="001B293B"/>
    <w:rsid w:val="001B30E0"/>
    <w:rsid w:val="001B3154"/>
    <w:rsid w:val="001B46ED"/>
    <w:rsid w:val="001B55BF"/>
    <w:rsid w:val="001B5893"/>
    <w:rsid w:val="001B5F07"/>
    <w:rsid w:val="001B6BCB"/>
    <w:rsid w:val="001B6C8B"/>
    <w:rsid w:val="001B73CD"/>
    <w:rsid w:val="001B7F0F"/>
    <w:rsid w:val="001C05A8"/>
    <w:rsid w:val="001C0E6B"/>
    <w:rsid w:val="001C121A"/>
    <w:rsid w:val="001C1624"/>
    <w:rsid w:val="001C1C30"/>
    <w:rsid w:val="001C279F"/>
    <w:rsid w:val="001C2875"/>
    <w:rsid w:val="001C296E"/>
    <w:rsid w:val="001C2F01"/>
    <w:rsid w:val="001C34D6"/>
    <w:rsid w:val="001C3B7B"/>
    <w:rsid w:val="001C3B99"/>
    <w:rsid w:val="001C3CF7"/>
    <w:rsid w:val="001C4DAD"/>
    <w:rsid w:val="001C4FB0"/>
    <w:rsid w:val="001C56C2"/>
    <w:rsid w:val="001C5AB7"/>
    <w:rsid w:val="001C69F1"/>
    <w:rsid w:val="001D03B0"/>
    <w:rsid w:val="001D0BE2"/>
    <w:rsid w:val="001D1F81"/>
    <w:rsid w:val="001D2520"/>
    <w:rsid w:val="001D27A0"/>
    <w:rsid w:val="001D3E87"/>
    <w:rsid w:val="001D3EA6"/>
    <w:rsid w:val="001D45C8"/>
    <w:rsid w:val="001D45CE"/>
    <w:rsid w:val="001D5273"/>
    <w:rsid w:val="001D59D7"/>
    <w:rsid w:val="001D5E22"/>
    <w:rsid w:val="001D7225"/>
    <w:rsid w:val="001D73A0"/>
    <w:rsid w:val="001D751D"/>
    <w:rsid w:val="001E02EE"/>
    <w:rsid w:val="001E10AF"/>
    <w:rsid w:val="001E1928"/>
    <w:rsid w:val="001E1F01"/>
    <w:rsid w:val="001E2054"/>
    <w:rsid w:val="001E262E"/>
    <w:rsid w:val="001E2B6E"/>
    <w:rsid w:val="001E3EF7"/>
    <w:rsid w:val="001E41ED"/>
    <w:rsid w:val="001E4556"/>
    <w:rsid w:val="001E4684"/>
    <w:rsid w:val="001E4EBA"/>
    <w:rsid w:val="001E61EA"/>
    <w:rsid w:val="001E6236"/>
    <w:rsid w:val="001E63F4"/>
    <w:rsid w:val="001E6C03"/>
    <w:rsid w:val="001E6D80"/>
    <w:rsid w:val="001E7615"/>
    <w:rsid w:val="001E764A"/>
    <w:rsid w:val="001F0033"/>
    <w:rsid w:val="001F0632"/>
    <w:rsid w:val="001F0D37"/>
    <w:rsid w:val="001F117C"/>
    <w:rsid w:val="001F152E"/>
    <w:rsid w:val="001F2125"/>
    <w:rsid w:val="001F2623"/>
    <w:rsid w:val="001F2F73"/>
    <w:rsid w:val="001F4BBF"/>
    <w:rsid w:val="001F530E"/>
    <w:rsid w:val="001F5342"/>
    <w:rsid w:val="001F5467"/>
    <w:rsid w:val="001F6C67"/>
    <w:rsid w:val="001F6EFE"/>
    <w:rsid w:val="001F70DE"/>
    <w:rsid w:val="001F7414"/>
    <w:rsid w:val="001F7788"/>
    <w:rsid w:val="002003A6"/>
    <w:rsid w:val="00200C86"/>
    <w:rsid w:val="00201752"/>
    <w:rsid w:val="00201885"/>
    <w:rsid w:val="00201C36"/>
    <w:rsid w:val="00203254"/>
    <w:rsid w:val="002039DF"/>
    <w:rsid w:val="00204495"/>
    <w:rsid w:val="0020494D"/>
    <w:rsid w:val="00204AD1"/>
    <w:rsid w:val="00204C7B"/>
    <w:rsid w:val="00205305"/>
    <w:rsid w:val="00207541"/>
    <w:rsid w:val="00207752"/>
    <w:rsid w:val="00207B9E"/>
    <w:rsid w:val="00210EEF"/>
    <w:rsid w:val="002112D1"/>
    <w:rsid w:val="002112D6"/>
    <w:rsid w:val="0021180E"/>
    <w:rsid w:val="00211DFC"/>
    <w:rsid w:val="002126CC"/>
    <w:rsid w:val="0021282C"/>
    <w:rsid w:val="00213090"/>
    <w:rsid w:val="00213827"/>
    <w:rsid w:val="002144DB"/>
    <w:rsid w:val="00214F09"/>
    <w:rsid w:val="002150FE"/>
    <w:rsid w:val="0021553A"/>
    <w:rsid w:val="002155FE"/>
    <w:rsid w:val="00216B8A"/>
    <w:rsid w:val="002171B6"/>
    <w:rsid w:val="0021778E"/>
    <w:rsid w:val="00217B19"/>
    <w:rsid w:val="0022000B"/>
    <w:rsid w:val="00221075"/>
    <w:rsid w:val="00221303"/>
    <w:rsid w:val="00221BF8"/>
    <w:rsid w:val="00221FB7"/>
    <w:rsid w:val="002228C5"/>
    <w:rsid w:val="00222C4C"/>
    <w:rsid w:val="00222DC6"/>
    <w:rsid w:val="00223A7F"/>
    <w:rsid w:val="00223C21"/>
    <w:rsid w:val="00223D52"/>
    <w:rsid w:val="002244AE"/>
    <w:rsid w:val="00224899"/>
    <w:rsid w:val="00224D16"/>
    <w:rsid w:val="00224ED6"/>
    <w:rsid w:val="00225C92"/>
    <w:rsid w:val="00226E94"/>
    <w:rsid w:val="002301A5"/>
    <w:rsid w:val="00230514"/>
    <w:rsid w:val="00230BF5"/>
    <w:rsid w:val="00230D34"/>
    <w:rsid w:val="0023193B"/>
    <w:rsid w:val="00231950"/>
    <w:rsid w:val="0023198F"/>
    <w:rsid w:val="00232320"/>
    <w:rsid w:val="002326CA"/>
    <w:rsid w:val="0023275B"/>
    <w:rsid w:val="0023275E"/>
    <w:rsid w:val="00234DEB"/>
    <w:rsid w:val="00235707"/>
    <w:rsid w:val="002358F2"/>
    <w:rsid w:val="002361D0"/>
    <w:rsid w:val="0023737C"/>
    <w:rsid w:val="002374A0"/>
    <w:rsid w:val="00237F9C"/>
    <w:rsid w:val="0024001C"/>
    <w:rsid w:val="0024069E"/>
    <w:rsid w:val="00240CB7"/>
    <w:rsid w:val="0024137E"/>
    <w:rsid w:val="002418DD"/>
    <w:rsid w:val="00242301"/>
    <w:rsid w:val="0024284A"/>
    <w:rsid w:val="00243271"/>
    <w:rsid w:val="00243C3E"/>
    <w:rsid w:val="00243F1B"/>
    <w:rsid w:val="0024469D"/>
    <w:rsid w:val="00244802"/>
    <w:rsid w:val="00244BD9"/>
    <w:rsid w:val="00244C6F"/>
    <w:rsid w:val="00245390"/>
    <w:rsid w:val="00245BD5"/>
    <w:rsid w:val="00246E96"/>
    <w:rsid w:val="00247913"/>
    <w:rsid w:val="00247F4A"/>
    <w:rsid w:val="00250677"/>
    <w:rsid w:val="00250774"/>
    <w:rsid w:val="002510A9"/>
    <w:rsid w:val="00251244"/>
    <w:rsid w:val="00251450"/>
    <w:rsid w:val="002515A3"/>
    <w:rsid w:val="002522FA"/>
    <w:rsid w:val="002526FC"/>
    <w:rsid w:val="00252E2A"/>
    <w:rsid w:val="00253605"/>
    <w:rsid w:val="00253687"/>
    <w:rsid w:val="002537F1"/>
    <w:rsid w:val="002542BC"/>
    <w:rsid w:val="00254731"/>
    <w:rsid w:val="002548C9"/>
    <w:rsid w:val="00254A72"/>
    <w:rsid w:val="002557EB"/>
    <w:rsid w:val="002558F9"/>
    <w:rsid w:val="00255C37"/>
    <w:rsid w:val="00255D31"/>
    <w:rsid w:val="00255D3E"/>
    <w:rsid w:val="00255F3F"/>
    <w:rsid w:val="0025687E"/>
    <w:rsid w:val="00256CA7"/>
    <w:rsid w:val="00256CD0"/>
    <w:rsid w:val="00256CEB"/>
    <w:rsid w:val="002571E7"/>
    <w:rsid w:val="002575B6"/>
    <w:rsid w:val="00257A81"/>
    <w:rsid w:val="00257CC5"/>
    <w:rsid w:val="00257F40"/>
    <w:rsid w:val="0026024A"/>
    <w:rsid w:val="00261DDA"/>
    <w:rsid w:val="002624B0"/>
    <w:rsid w:val="002625D9"/>
    <w:rsid w:val="00263A07"/>
    <w:rsid w:val="00263D27"/>
    <w:rsid w:val="00263FFF"/>
    <w:rsid w:val="002641A3"/>
    <w:rsid w:val="00264B52"/>
    <w:rsid w:val="00264B7E"/>
    <w:rsid w:val="002651B6"/>
    <w:rsid w:val="0026522D"/>
    <w:rsid w:val="00265443"/>
    <w:rsid w:val="00265940"/>
    <w:rsid w:val="00265AA8"/>
    <w:rsid w:val="00266E8D"/>
    <w:rsid w:val="002671EC"/>
    <w:rsid w:val="002675E3"/>
    <w:rsid w:val="00267B35"/>
    <w:rsid w:val="0027054C"/>
    <w:rsid w:val="0027055A"/>
    <w:rsid w:val="002707B9"/>
    <w:rsid w:val="0027080E"/>
    <w:rsid w:val="0027081A"/>
    <w:rsid w:val="00270EB6"/>
    <w:rsid w:val="00271253"/>
    <w:rsid w:val="0027176E"/>
    <w:rsid w:val="00271E36"/>
    <w:rsid w:val="00271F4D"/>
    <w:rsid w:val="002724E7"/>
    <w:rsid w:val="00272CEA"/>
    <w:rsid w:val="002734C5"/>
    <w:rsid w:val="00273E62"/>
    <w:rsid w:val="00273F0F"/>
    <w:rsid w:val="00273FB0"/>
    <w:rsid w:val="002740E3"/>
    <w:rsid w:val="002749B2"/>
    <w:rsid w:val="00274E86"/>
    <w:rsid w:val="00275F92"/>
    <w:rsid w:val="002761B9"/>
    <w:rsid w:val="00276335"/>
    <w:rsid w:val="00276BF7"/>
    <w:rsid w:val="00276D76"/>
    <w:rsid w:val="00276FD1"/>
    <w:rsid w:val="0027711C"/>
    <w:rsid w:val="002776FE"/>
    <w:rsid w:val="002779DD"/>
    <w:rsid w:val="00277EDE"/>
    <w:rsid w:val="0028067B"/>
    <w:rsid w:val="00280EE9"/>
    <w:rsid w:val="0028135F"/>
    <w:rsid w:val="002815F7"/>
    <w:rsid w:val="00281829"/>
    <w:rsid w:val="00281B04"/>
    <w:rsid w:val="00281D95"/>
    <w:rsid w:val="0028212C"/>
    <w:rsid w:val="0028284D"/>
    <w:rsid w:val="00282A71"/>
    <w:rsid w:val="00282CC6"/>
    <w:rsid w:val="00282F94"/>
    <w:rsid w:val="0028438D"/>
    <w:rsid w:val="002846B8"/>
    <w:rsid w:val="00285169"/>
    <w:rsid w:val="002862E6"/>
    <w:rsid w:val="00286E97"/>
    <w:rsid w:val="0028729B"/>
    <w:rsid w:val="00290CA6"/>
    <w:rsid w:val="00290FE4"/>
    <w:rsid w:val="0029117F"/>
    <w:rsid w:val="00291BFD"/>
    <w:rsid w:val="002920A5"/>
    <w:rsid w:val="0029281E"/>
    <w:rsid w:val="00293323"/>
    <w:rsid w:val="00293436"/>
    <w:rsid w:val="00294738"/>
    <w:rsid w:val="00295297"/>
    <w:rsid w:val="00295E78"/>
    <w:rsid w:val="00295E96"/>
    <w:rsid w:val="002970C5"/>
    <w:rsid w:val="002A12DB"/>
    <w:rsid w:val="002A1566"/>
    <w:rsid w:val="002A1571"/>
    <w:rsid w:val="002A1C27"/>
    <w:rsid w:val="002A1C90"/>
    <w:rsid w:val="002A1F0D"/>
    <w:rsid w:val="002A2154"/>
    <w:rsid w:val="002A28D3"/>
    <w:rsid w:val="002A2950"/>
    <w:rsid w:val="002A2BC4"/>
    <w:rsid w:val="002A2D7B"/>
    <w:rsid w:val="002A3406"/>
    <w:rsid w:val="002A3955"/>
    <w:rsid w:val="002A3E13"/>
    <w:rsid w:val="002A451A"/>
    <w:rsid w:val="002A4621"/>
    <w:rsid w:val="002A4840"/>
    <w:rsid w:val="002A4D5E"/>
    <w:rsid w:val="002A4E54"/>
    <w:rsid w:val="002A52C5"/>
    <w:rsid w:val="002A65B2"/>
    <w:rsid w:val="002A7504"/>
    <w:rsid w:val="002A7BED"/>
    <w:rsid w:val="002B0430"/>
    <w:rsid w:val="002B07CC"/>
    <w:rsid w:val="002B1838"/>
    <w:rsid w:val="002B1910"/>
    <w:rsid w:val="002B1BE2"/>
    <w:rsid w:val="002B1D0D"/>
    <w:rsid w:val="002B1DA3"/>
    <w:rsid w:val="002B22F3"/>
    <w:rsid w:val="002B353A"/>
    <w:rsid w:val="002B3D74"/>
    <w:rsid w:val="002B3E53"/>
    <w:rsid w:val="002B40A1"/>
    <w:rsid w:val="002B4140"/>
    <w:rsid w:val="002B4D70"/>
    <w:rsid w:val="002B61F9"/>
    <w:rsid w:val="002B6835"/>
    <w:rsid w:val="002B6BFA"/>
    <w:rsid w:val="002B749A"/>
    <w:rsid w:val="002C08F8"/>
    <w:rsid w:val="002C0C5F"/>
    <w:rsid w:val="002C0E33"/>
    <w:rsid w:val="002C10D8"/>
    <w:rsid w:val="002C13AF"/>
    <w:rsid w:val="002C14AA"/>
    <w:rsid w:val="002C1B0D"/>
    <w:rsid w:val="002C1CAD"/>
    <w:rsid w:val="002C225D"/>
    <w:rsid w:val="002C244D"/>
    <w:rsid w:val="002C2B44"/>
    <w:rsid w:val="002C348B"/>
    <w:rsid w:val="002C3DC8"/>
    <w:rsid w:val="002C43A2"/>
    <w:rsid w:val="002C46CE"/>
    <w:rsid w:val="002C4EC7"/>
    <w:rsid w:val="002C52F1"/>
    <w:rsid w:val="002C5553"/>
    <w:rsid w:val="002C5E6F"/>
    <w:rsid w:val="002C5FB4"/>
    <w:rsid w:val="002C635A"/>
    <w:rsid w:val="002C679D"/>
    <w:rsid w:val="002C6C16"/>
    <w:rsid w:val="002C6C9F"/>
    <w:rsid w:val="002C7D95"/>
    <w:rsid w:val="002C7F7B"/>
    <w:rsid w:val="002D063F"/>
    <w:rsid w:val="002D0BEE"/>
    <w:rsid w:val="002D0D75"/>
    <w:rsid w:val="002D0E0F"/>
    <w:rsid w:val="002D201E"/>
    <w:rsid w:val="002D221C"/>
    <w:rsid w:val="002D2A4F"/>
    <w:rsid w:val="002D2AEA"/>
    <w:rsid w:val="002D2BA7"/>
    <w:rsid w:val="002D3BDA"/>
    <w:rsid w:val="002D40F3"/>
    <w:rsid w:val="002D4500"/>
    <w:rsid w:val="002D588E"/>
    <w:rsid w:val="002D5C69"/>
    <w:rsid w:val="002D6276"/>
    <w:rsid w:val="002D6353"/>
    <w:rsid w:val="002E0A9B"/>
    <w:rsid w:val="002E0F1B"/>
    <w:rsid w:val="002E14B6"/>
    <w:rsid w:val="002E2483"/>
    <w:rsid w:val="002E2AAD"/>
    <w:rsid w:val="002E2D18"/>
    <w:rsid w:val="002E329D"/>
    <w:rsid w:val="002E32D8"/>
    <w:rsid w:val="002E33B7"/>
    <w:rsid w:val="002E3880"/>
    <w:rsid w:val="002E3C99"/>
    <w:rsid w:val="002E3FDB"/>
    <w:rsid w:val="002E43B5"/>
    <w:rsid w:val="002E452F"/>
    <w:rsid w:val="002E5825"/>
    <w:rsid w:val="002E6159"/>
    <w:rsid w:val="002F01AF"/>
    <w:rsid w:val="002F03AF"/>
    <w:rsid w:val="002F0779"/>
    <w:rsid w:val="002F08D4"/>
    <w:rsid w:val="002F1916"/>
    <w:rsid w:val="002F1997"/>
    <w:rsid w:val="002F22D9"/>
    <w:rsid w:val="002F24E0"/>
    <w:rsid w:val="002F26E9"/>
    <w:rsid w:val="002F2E1E"/>
    <w:rsid w:val="002F3266"/>
    <w:rsid w:val="002F3356"/>
    <w:rsid w:val="002F429B"/>
    <w:rsid w:val="002F4407"/>
    <w:rsid w:val="002F467B"/>
    <w:rsid w:val="002F4D9F"/>
    <w:rsid w:val="002F5F17"/>
    <w:rsid w:val="002F615A"/>
    <w:rsid w:val="002F64B9"/>
    <w:rsid w:val="002F6626"/>
    <w:rsid w:val="002F6D83"/>
    <w:rsid w:val="002F6FA4"/>
    <w:rsid w:val="002F730A"/>
    <w:rsid w:val="002F7983"/>
    <w:rsid w:val="00300BDC"/>
    <w:rsid w:val="00301FE7"/>
    <w:rsid w:val="003020C2"/>
    <w:rsid w:val="00302227"/>
    <w:rsid w:val="00302FCD"/>
    <w:rsid w:val="003040E5"/>
    <w:rsid w:val="00304BB3"/>
    <w:rsid w:val="00304DBC"/>
    <w:rsid w:val="00305765"/>
    <w:rsid w:val="003061C0"/>
    <w:rsid w:val="003064DE"/>
    <w:rsid w:val="00306679"/>
    <w:rsid w:val="00307417"/>
    <w:rsid w:val="003076BF"/>
    <w:rsid w:val="00307E9C"/>
    <w:rsid w:val="00310DAE"/>
    <w:rsid w:val="00310E9F"/>
    <w:rsid w:val="00311247"/>
    <w:rsid w:val="00311C8D"/>
    <w:rsid w:val="003123CE"/>
    <w:rsid w:val="003126BD"/>
    <w:rsid w:val="003127CD"/>
    <w:rsid w:val="00314147"/>
    <w:rsid w:val="003145B6"/>
    <w:rsid w:val="003146D3"/>
    <w:rsid w:val="00315A74"/>
    <w:rsid w:val="00315D8D"/>
    <w:rsid w:val="003166AC"/>
    <w:rsid w:val="00316C88"/>
    <w:rsid w:val="00316EF1"/>
    <w:rsid w:val="00317C64"/>
    <w:rsid w:val="00317F84"/>
    <w:rsid w:val="003205CB"/>
    <w:rsid w:val="003214AC"/>
    <w:rsid w:val="00321C50"/>
    <w:rsid w:val="00321E82"/>
    <w:rsid w:val="003227CF"/>
    <w:rsid w:val="0032288B"/>
    <w:rsid w:val="0032298A"/>
    <w:rsid w:val="00322F09"/>
    <w:rsid w:val="003230AC"/>
    <w:rsid w:val="0032418E"/>
    <w:rsid w:val="00324718"/>
    <w:rsid w:val="0032533F"/>
    <w:rsid w:val="00325A48"/>
    <w:rsid w:val="00325D94"/>
    <w:rsid w:val="003260F8"/>
    <w:rsid w:val="003266E3"/>
    <w:rsid w:val="00326910"/>
    <w:rsid w:val="00326A0D"/>
    <w:rsid w:val="003273EA"/>
    <w:rsid w:val="00327EF0"/>
    <w:rsid w:val="0033000D"/>
    <w:rsid w:val="00330656"/>
    <w:rsid w:val="00331207"/>
    <w:rsid w:val="003313E2"/>
    <w:rsid w:val="0033294D"/>
    <w:rsid w:val="00332F9C"/>
    <w:rsid w:val="0033301F"/>
    <w:rsid w:val="0033387C"/>
    <w:rsid w:val="00333A96"/>
    <w:rsid w:val="003348D2"/>
    <w:rsid w:val="00334E89"/>
    <w:rsid w:val="00334FA7"/>
    <w:rsid w:val="00335357"/>
    <w:rsid w:val="003356E1"/>
    <w:rsid w:val="00336898"/>
    <w:rsid w:val="003369E9"/>
    <w:rsid w:val="00336C67"/>
    <w:rsid w:val="00336CE4"/>
    <w:rsid w:val="003379C7"/>
    <w:rsid w:val="003379DE"/>
    <w:rsid w:val="00337B77"/>
    <w:rsid w:val="00340777"/>
    <w:rsid w:val="003424C3"/>
    <w:rsid w:val="003424F1"/>
    <w:rsid w:val="00342E67"/>
    <w:rsid w:val="00343439"/>
    <w:rsid w:val="00343CA8"/>
    <w:rsid w:val="00344D81"/>
    <w:rsid w:val="003460FE"/>
    <w:rsid w:val="003464FB"/>
    <w:rsid w:val="00346735"/>
    <w:rsid w:val="00347802"/>
    <w:rsid w:val="0035005B"/>
    <w:rsid w:val="003508B2"/>
    <w:rsid w:val="00350CDC"/>
    <w:rsid w:val="0035110E"/>
    <w:rsid w:val="00351417"/>
    <w:rsid w:val="00351452"/>
    <w:rsid w:val="00352FFB"/>
    <w:rsid w:val="0035354A"/>
    <w:rsid w:val="003550F4"/>
    <w:rsid w:val="0035644C"/>
    <w:rsid w:val="00356E7F"/>
    <w:rsid w:val="00357264"/>
    <w:rsid w:val="00357EA4"/>
    <w:rsid w:val="00360688"/>
    <w:rsid w:val="00360C97"/>
    <w:rsid w:val="00363104"/>
    <w:rsid w:val="003632F2"/>
    <w:rsid w:val="00363B76"/>
    <w:rsid w:val="00364229"/>
    <w:rsid w:val="00364438"/>
    <w:rsid w:val="003646ED"/>
    <w:rsid w:val="00364702"/>
    <w:rsid w:val="003647AE"/>
    <w:rsid w:val="00364BE2"/>
    <w:rsid w:val="00365C64"/>
    <w:rsid w:val="00366565"/>
    <w:rsid w:val="003665BA"/>
    <w:rsid w:val="00366CF2"/>
    <w:rsid w:val="00366DD9"/>
    <w:rsid w:val="003712F0"/>
    <w:rsid w:val="00371861"/>
    <w:rsid w:val="00372250"/>
    <w:rsid w:val="00372D24"/>
    <w:rsid w:val="00373B07"/>
    <w:rsid w:val="00373B22"/>
    <w:rsid w:val="00373C0A"/>
    <w:rsid w:val="00373C32"/>
    <w:rsid w:val="003747F1"/>
    <w:rsid w:val="003749B9"/>
    <w:rsid w:val="00374B0B"/>
    <w:rsid w:val="003752B6"/>
    <w:rsid w:val="00375604"/>
    <w:rsid w:val="003756E2"/>
    <w:rsid w:val="003764B1"/>
    <w:rsid w:val="00376652"/>
    <w:rsid w:val="00377086"/>
    <w:rsid w:val="0037758D"/>
    <w:rsid w:val="00377EFF"/>
    <w:rsid w:val="0038031C"/>
    <w:rsid w:val="00380337"/>
    <w:rsid w:val="00380341"/>
    <w:rsid w:val="00380408"/>
    <w:rsid w:val="00380803"/>
    <w:rsid w:val="00380ACC"/>
    <w:rsid w:val="00381130"/>
    <w:rsid w:val="00381945"/>
    <w:rsid w:val="003819DF"/>
    <w:rsid w:val="0038302C"/>
    <w:rsid w:val="0038343A"/>
    <w:rsid w:val="00384B53"/>
    <w:rsid w:val="003851AB"/>
    <w:rsid w:val="0038550F"/>
    <w:rsid w:val="0038615F"/>
    <w:rsid w:val="0038695D"/>
    <w:rsid w:val="0038745A"/>
    <w:rsid w:val="00391D7C"/>
    <w:rsid w:val="0039204E"/>
    <w:rsid w:val="00392F63"/>
    <w:rsid w:val="0039303B"/>
    <w:rsid w:val="00393131"/>
    <w:rsid w:val="0039394E"/>
    <w:rsid w:val="00393A7E"/>
    <w:rsid w:val="00393DE8"/>
    <w:rsid w:val="00395BCC"/>
    <w:rsid w:val="00396A62"/>
    <w:rsid w:val="00396EC4"/>
    <w:rsid w:val="00397297"/>
    <w:rsid w:val="003972C5"/>
    <w:rsid w:val="003974B0"/>
    <w:rsid w:val="003976B9"/>
    <w:rsid w:val="00397897"/>
    <w:rsid w:val="00397AAD"/>
    <w:rsid w:val="00397D94"/>
    <w:rsid w:val="003A03C5"/>
    <w:rsid w:val="003A07CB"/>
    <w:rsid w:val="003A0BCD"/>
    <w:rsid w:val="003A12D8"/>
    <w:rsid w:val="003A17FE"/>
    <w:rsid w:val="003A1A2E"/>
    <w:rsid w:val="003A1FF6"/>
    <w:rsid w:val="003A1FF8"/>
    <w:rsid w:val="003A21BC"/>
    <w:rsid w:val="003A2437"/>
    <w:rsid w:val="003A2523"/>
    <w:rsid w:val="003A3405"/>
    <w:rsid w:val="003A3A85"/>
    <w:rsid w:val="003A43DD"/>
    <w:rsid w:val="003A4B37"/>
    <w:rsid w:val="003A6485"/>
    <w:rsid w:val="003A72F8"/>
    <w:rsid w:val="003A7464"/>
    <w:rsid w:val="003A7896"/>
    <w:rsid w:val="003B08A1"/>
    <w:rsid w:val="003B0BF1"/>
    <w:rsid w:val="003B1208"/>
    <w:rsid w:val="003B1351"/>
    <w:rsid w:val="003B1CB8"/>
    <w:rsid w:val="003B2074"/>
    <w:rsid w:val="003B38CD"/>
    <w:rsid w:val="003B4568"/>
    <w:rsid w:val="003B4BE4"/>
    <w:rsid w:val="003B54F7"/>
    <w:rsid w:val="003B5559"/>
    <w:rsid w:val="003B6499"/>
    <w:rsid w:val="003B6DF2"/>
    <w:rsid w:val="003B6FA7"/>
    <w:rsid w:val="003B73E6"/>
    <w:rsid w:val="003B75F4"/>
    <w:rsid w:val="003C0BD6"/>
    <w:rsid w:val="003C0FDE"/>
    <w:rsid w:val="003C1111"/>
    <w:rsid w:val="003C17AC"/>
    <w:rsid w:val="003C27B8"/>
    <w:rsid w:val="003C29C9"/>
    <w:rsid w:val="003C2FCA"/>
    <w:rsid w:val="003C3106"/>
    <w:rsid w:val="003C3AF0"/>
    <w:rsid w:val="003C4260"/>
    <w:rsid w:val="003C4A7B"/>
    <w:rsid w:val="003C50BD"/>
    <w:rsid w:val="003C50FB"/>
    <w:rsid w:val="003C57BE"/>
    <w:rsid w:val="003C57E2"/>
    <w:rsid w:val="003C6A85"/>
    <w:rsid w:val="003C7B77"/>
    <w:rsid w:val="003C7CF2"/>
    <w:rsid w:val="003C7F51"/>
    <w:rsid w:val="003D0A4C"/>
    <w:rsid w:val="003D0D72"/>
    <w:rsid w:val="003D218F"/>
    <w:rsid w:val="003D26B1"/>
    <w:rsid w:val="003D29B8"/>
    <w:rsid w:val="003D2AF5"/>
    <w:rsid w:val="003D2CA9"/>
    <w:rsid w:val="003D32A6"/>
    <w:rsid w:val="003D4051"/>
    <w:rsid w:val="003D46F2"/>
    <w:rsid w:val="003D5264"/>
    <w:rsid w:val="003D55E7"/>
    <w:rsid w:val="003D58E2"/>
    <w:rsid w:val="003D60E2"/>
    <w:rsid w:val="003D65D9"/>
    <w:rsid w:val="003D6C0E"/>
    <w:rsid w:val="003E0997"/>
    <w:rsid w:val="003E0B65"/>
    <w:rsid w:val="003E0CF1"/>
    <w:rsid w:val="003E13A3"/>
    <w:rsid w:val="003E1C56"/>
    <w:rsid w:val="003E1E74"/>
    <w:rsid w:val="003E2296"/>
    <w:rsid w:val="003E22D3"/>
    <w:rsid w:val="003E273B"/>
    <w:rsid w:val="003E305E"/>
    <w:rsid w:val="003E3269"/>
    <w:rsid w:val="003E393E"/>
    <w:rsid w:val="003E4067"/>
    <w:rsid w:val="003E448B"/>
    <w:rsid w:val="003E4512"/>
    <w:rsid w:val="003E478A"/>
    <w:rsid w:val="003E5865"/>
    <w:rsid w:val="003E5951"/>
    <w:rsid w:val="003E5A1E"/>
    <w:rsid w:val="003E5F21"/>
    <w:rsid w:val="003E62FB"/>
    <w:rsid w:val="003E686C"/>
    <w:rsid w:val="003E70A5"/>
    <w:rsid w:val="003E7CC7"/>
    <w:rsid w:val="003F01B7"/>
    <w:rsid w:val="003F0757"/>
    <w:rsid w:val="003F1238"/>
    <w:rsid w:val="003F233E"/>
    <w:rsid w:val="003F26FF"/>
    <w:rsid w:val="003F2C32"/>
    <w:rsid w:val="003F2E84"/>
    <w:rsid w:val="003F3B17"/>
    <w:rsid w:val="003F3D1C"/>
    <w:rsid w:val="003F4641"/>
    <w:rsid w:val="003F4C76"/>
    <w:rsid w:val="003F508B"/>
    <w:rsid w:val="003F5244"/>
    <w:rsid w:val="003F56CA"/>
    <w:rsid w:val="003F5D76"/>
    <w:rsid w:val="003F5EA6"/>
    <w:rsid w:val="003F636F"/>
    <w:rsid w:val="003F651D"/>
    <w:rsid w:val="003F7039"/>
    <w:rsid w:val="003F7877"/>
    <w:rsid w:val="0040030E"/>
    <w:rsid w:val="00400376"/>
    <w:rsid w:val="0040125B"/>
    <w:rsid w:val="0040211A"/>
    <w:rsid w:val="0040221A"/>
    <w:rsid w:val="0040248C"/>
    <w:rsid w:val="00403284"/>
    <w:rsid w:val="00403CBB"/>
    <w:rsid w:val="0040467D"/>
    <w:rsid w:val="00404E4E"/>
    <w:rsid w:val="00405553"/>
    <w:rsid w:val="00405CCA"/>
    <w:rsid w:val="00405DB4"/>
    <w:rsid w:val="00405F39"/>
    <w:rsid w:val="004060E9"/>
    <w:rsid w:val="00406301"/>
    <w:rsid w:val="00406639"/>
    <w:rsid w:val="00407191"/>
    <w:rsid w:val="004077D6"/>
    <w:rsid w:val="00407B92"/>
    <w:rsid w:val="00410C10"/>
    <w:rsid w:val="00410C3C"/>
    <w:rsid w:val="00410C49"/>
    <w:rsid w:val="00411103"/>
    <w:rsid w:val="004114C6"/>
    <w:rsid w:val="00411739"/>
    <w:rsid w:val="00412316"/>
    <w:rsid w:val="004126FD"/>
    <w:rsid w:val="00412790"/>
    <w:rsid w:val="00413B39"/>
    <w:rsid w:val="00414180"/>
    <w:rsid w:val="0041444D"/>
    <w:rsid w:val="00414700"/>
    <w:rsid w:val="004147CD"/>
    <w:rsid w:val="004148DD"/>
    <w:rsid w:val="0041562A"/>
    <w:rsid w:val="00415868"/>
    <w:rsid w:val="00415C6D"/>
    <w:rsid w:val="004165E4"/>
    <w:rsid w:val="0041661B"/>
    <w:rsid w:val="004175B0"/>
    <w:rsid w:val="004176A0"/>
    <w:rsid w:val="004176F3"/>
    <w:rsid w:val="00417CB1"/>
    <w:rsid w:val="00417FA2"/>
    <w:rsid w:val="004207E3"/>
    <w:rsid w:val="00421080"/>
    <w:rsid w:val="004214E2"/>
    <w:rsid w:val="00421987"/>
    <w:rsid w:val="00421EC7"/>
    <w:rsid w:val="00422109"/>
    <w:rsid w:val="00422253"/>
    <w:rsid w:val="00422380"/>
    <w:rsid w:val="00423882"/>
    <w:rsid w:val="00423F00"/>
    <w:rsid w:val="00424BB4"/>
    <w:rsid w:val="00424C07"/>
    <w:rsid w:val="00424ED8"/>
    <w:rsid w:val="00425B3E"/>
    <w:rsid w:val="00426E71"/>
    <w:rsid w:val="004305AC"/>
    <w:rsid w:val="00430C6E"/>
    <w:rsid w:val="00430D86"/>
    <w:rsid w:val="00431348"/>
    <w:rsid w:val="0043134B"/>
    <w:rsid w:val="004319C5"/>
    <w:rsid w:val="00431A9F"/>
    <w:rsid w:val="00431B0D"/>
    <w:rsid w:val="004323B0"/>
    <w:rsid w:val="0043288B"/>
    <w:rsid w:val="004330B7"/>
    <w:rsid w:val="004335B7"/>
    <w:rsid w:val="004341D6"/>
    <w:rsid w:val="0043464E"/>
    <w:rsid w:val="00435D55"/>
    <w:rsid w:val="0043606C"/>
    <w:rsid w:val="00436387"/>
    <w:rsid w:val="00436F45"/>
    <w:rsid w:val="004376FA"/>
    <w:rsid w:val="00437954"/>
    <w:rsid w:val="00437DCA"/>
    <w:rsid w:val="00440A92"/>
    <w:rsid w:val="0044234E"/>
    <w:rsid w:val="004428EC"/>
    <w:rsid w:val="00443937"/>
    <w:rsid w:val="00443CD4"/>
    <w:rsid w:val="0044413B"/>
    <w:rsid w:val="00445B04"/>
    <w:rsid w:val="00446E83"/>
    <w:rsid w:val="00447803"/>
    <w:rsid w:val="004479DB"/>
    <w:rsid w:val="0045071A"/>
    <w:rsid w:val="004510C0"/>
    <w:rsid w:val="0045124B"/>
    <w:rsid w:val="004513B8"/>
    <w:rsid w:val="00451F5F"/>
    <w:rsid w:val="00452965"/>
    <w:rsid w:val="00453092"/>
    <w:rsid w:val="00453F44"/>
    <w:rsid w:val="00453F8E"/>
    <w:rsid w:val="0045529F"/>
    <w:rsid w:val="0045601A"/>
    <w:rsid w:val="0045614E"/>
    <w:rsid w:val="00456312"/>
    <w:rsid w:val="004567F4"/>
    <w:rsid w:val="00456830"/>
    <w:rsid w:val="004574D6"/>
    <w:rsid w:val="00457A78"/>
    <w:rsid w:val="00461FD8"/>
    <w:rsid w:val="00461FE6"/>
    <w:rsid w:val="00462171"/>
    <w:rsid w:val="00462417"/>
    <w:rsid w:val="00462B81"/>
    <w:rsid w:val="004636E4"/>
    <w:rsid w:val="00463A48"/>
    <w:rsid w:val="00463BCD"/>
    <w:rsid w:val="00463E83"/>
    <w:rsid w:val="00463FF6"/>
    <w:rsid w:val="00465ED3"/>
    <w:rsid w:val="004663E4"/>
    <w:rsid w:val="00466503"/>
    <w:rsid w:val="00466601"/>
    <w:rsid w:val="00466A4B"/>
    <w:rsid w:val="00470118"/>
    <w:rsid w:val="00470765"/>
    <w:rsid w:val="004711BF"/>
    <w:rsid w:val="00471376"/>
    <w:rsid w:val="0047154D"/>
    <w:rsid w:val="004718A2"/>
    <w:rsid w:val="00471C09"/>
    <w:rsid w:val="00472AB0"/>
    <w:rsid w:val="00472AD6"/>
    <w:rsid w:val="0047385C"/>
    <w:rsid w:val="00473C13"/>
    <w:rsid w:val="00473F69"/>
    <w:rsid w:val="00474217"/>
    <w:rsid w:val="00474276"/>
    <w:rsid w:val="004745FA"/>
    <w:rsid w:val="004749EA"/>
    <w:rsid w:val="004752DC"/>
    <w:rsid w:val="004758DC"/>
    <w:rsid w:val="004758F6"/>
    <w:rsid w:val="00476474"/>
    <w:rsid w:val="00476BBC"/>
    <w:rsid w:val="0047705C"/>
    <w:rsid w:val="0048083E"/>
    <w:rsid w:val="004808CC"/>
    <w:rsid w:val="00480B3B"/>
    <w:rsid w:val="0048220A"/>
    <w:rsid w:val="004830DA"/>
    <w:rsid w:val="00483351"/>
    <w:rsid w:val="0048335E"/>
    <w:rsid w:val="00483803"/>
    <w:rsid w:val="00483953"/>
    <w:rsid w:val="0048397C"/>
    <w:rsid w:val="00484678"/>
    <w:rsid w:val="004849B8"/>
    <w:rsid w:val="00484DE3"/>
    <w:rsid w:val="00485081"/>
    <w:rsid w:val="00485890"/>
    <w:rsid w:val="00486EE1"/>
    <w:rsid w:val="00487D36"/>
    <w:rsid w:val="00487DC3"/>
    <w:rsid w:val="00487F14"/>
    <w:rsid w:val="004900BC"/>
    <w:rsid w:val="00490886"/>
    <w:rsid w:val="00490A73"/>
    <w:rsid w:val="00491B86"/>
    <w:rsid w:val="0049203C"/>
    <w:rsid w:val="00492943"/>
    <w:rsid w:val="004932C4"/>
    <w:rsid w:val="00493561"/>
    <w:rsid w:val="0049390A"/>
    <w:rsid w:val="00493A6A"/>
    <w:rsid w:val="0049412C"/>
    <w:rsid w:val="004947AB"/>
    <w:rsid w:val="00494927"/>
    <w:rsid w:val="004954AC"/>
    <w:rsid w:val="0049588A"/>
    <w:rsid w:val="0049601A"/>
    <w:rsid w:val="00497334"/>
    <w:rsid w:val="004A04B2"/>
    <w:rsid w:val="004A0A18"/>
    <w:rsid w:val="004A15AB"/>
    <w:rsid w:val="004A1624"/>
    <w:rsid w:val="004A18E7"/>
    <w:rsid w:val="004A2620"/>
    <w:rsid w:val="004A2B50"/>
    <w:rsid w:val="004A3589"/>
    <w:rsid w:val="004A39EB"/>
    <w:rsid w:val="004A4AFD"/>
    <w:rsid w:val="004A5383"/>
    <w:rsid w:val="004A550D"/>
    <w:rsid w:val="004A5A71"/>
    <w:rsid w:val="004A6454"/>
    <w:rsid w:val="004A65CF"/>
    <w:rsid w:val="004A6F1F"/>
    <w:rsid w:val="004A70FA"/>
    <w:rsid w:val="004A75B0"/>
    <w:rsid w:val="004A7A7B"/>
    <w:rsid w:val="004B0491"/>
    <w:rsid w:val="004B32E0"/>
    <w:rsid w:val="004B3F87"/>
    <w:rsid w:val="004B46E4"/>
    <w:rsid w:val="004B4E79"/>
    <w:rsid w:val="004B5307"/>
    <w:rsid w:val="004B5830"/>
    <w:rsid w:val="004B61A8"/>
    <w:rsid w:val="004B66AA"/>
    <w:rsid w:val="004B67EE"/>
    <w:rsid w:val="004C09CE"/>
    <w:rsid w:val="004C0C48"/>
    <w:rsid w:val="004C0CB2"/>
    <w:rsid w:val="004C166A"/>
    <w:rsid w:val="004C1B9B"/>
    <w:rsid w:val="004C1C7B"/>
    <w:rsid w:val="004C1DE3"/>
    <w:rsid w:val="004C1E2B"/>
    <w:rsid w:val="004C2505"/>
    <w:rsid w:val="004C272D"/>
    <w:rsid w:val="004C3086"/>
    <w:rsid w:val="004C3101"/>
    <w:rsid w:val="004C3325"/>
    <w:rsid w:val="004C337F"/>
    <w:rsid w:val="004C4752"/>
    <w:rsid w:val="004C4AE1"/>
    <w:rsid w:val="004C4E84"/>
    <w:rsid w:val="004C4F22"/>
    <w:rsid w:val="004C52B0"/>
    <w:rsid w:val="004C5353"/>
    <w:rsid w:val="004C557A"/>
    <w:rsid w:val="004C5F19"/>
    <w:rsid w:val="004C6042"/>
    <w:rsid w:val="004C6217"/>
    <w:rsid w:val="004C69E9"/>
    <w:rsid w:val="004C69F4"/>
    <w:rsid w:val="004C74B7"/>
    <w:rsid w:val="004C7750"/>
    <w:rsid w:val="004D0509"/>
    <w:rsid w:val="004D07BB"/>
    <w:rsid w:val="004D10B7"/>
    <w:rsid w:val="004D11F5"/>
    <w:rsid w:val="004D1365"/>
    <w:rsid w:val="004D17B4"/>
    <w:rsid w:val="004D3000"/>
    <w:rsid w:val="004D385D"/>
    <w:rsid w:val="004D48A1"/>
    <w:rsid w:val="004D4B48"/>
    <w:rsid w:val="004D58EF"/>
    <w:rsid w:val="004D5C30"/>
    <w:rsid w:val="004D5CDD"/>
    <w:rsid w:val="004D5D84"/>
    <w:rsid w:val="004D6837"/>
    <w:rsid w:val="004D6923"/>
    <w:rsid w:val="004D6EE3"/>
    <w:rsid w:val="004D746A"/>
    <w:rsid w:val="004D75D9"/>
    <w:rsid w:val="004D7984"/>
    <w:rsid w:val="004E047D"/>
    <w:rsid w:val="004E0770"/>
    <w:rsid w:val="004E1180"/>
    <w:rsid w:val="004E1954"/>
    <w:rsid w:val="004E2D45"/>
    <w:rsid w:val="004E3AA1"/>
    <w:rsid w:val="004E3B7A"/>
    <w:rsid w:val="004E3BF0"/>
    <w:rsid w:val="004E4148"/>
    <w:rsid w:val="004E4344"/>
    <w:rsid w:val="004E4D9D"/>
    <w:rsid w:val="004E5510"/>
    <w:rsid w:val="004E5748"/>
    <w:rsid w:val="004E5B87"/>
    <w:rsid w:val="004E5C0B"/>
    <w:rsid w:val="004E5C93"/>
    <w:rsid w:val="004E6E8A"/>
    <w:rsid w:val="004E6EF8"/>
    <w:rsid w:val="004E75AF"/>
    <w:rsid w:val="004F02CF"/>
    <w:rsid w:val="004F0726"/>
    <w:rsid w:val="004F08A0"/>
    <w:rsid w:val="004F099D"/>
    <w:rsid w:val="004F0CDA"/>
    <w:rsid w:val="004F10B4"/>
    <w:rsid w:val="004F1435"/>
    <w:rsid w:val="004F16B8"/>
    <w:rsid w:val="004F272E"/>
    <w:rsid w:val="004F36BE"/>
    <w:rsid w:val="004F40AB"/>
    <w:rsid w:val="004F4A0D"/>
    <w:rsid w:val="004F4E33"/>
    <w:rsid w:val="004F53FD"/>
    <w:rsid w:val="004F5E95"/>
    <w:rsid w:val="004F636E"/>
    <w:rsid w:val="004F6647"/>
    <w:rsid w:val="004F6B16"/>
    <w:rsid w:val="004F6B48"/>
    <w:rsid w:val="004F7185"/>
    <w:rsid w:val="004F7301"/>
    <w:rsid w:val="004F7C1A"/>
    <w:rsid w:val="004F7C3D"/>
    <w:rsid w:val="0050060D"/>
    <w:rsid w:val="005009EB"/>
    <w:rsid w:val="00501329"/>
    <w:rsid w:val="00501458"/>
    <w:rsid w:val="00501550"/>
    <w:rsid w:val="00501C27"/>
    <w:rsid w:val="00501DA8"/>
    <w:rsid w:val="00501FA7"/>
    <w:rsid w:val="005027FD"/>
    <w:rsid w:val="005029E1"/>
    <w:rsid w:val="00502AFB"/>
    <w:rsid w:val="00502BCA"/>
    <w:rsid w:val="00502F0D"/>
    <w:rsid w:val="0050477B"/>
    <w:rsid w:val="00504928"/>
    <w:rsid w:val="00504B2F"/>
    <w:rsid w:val="005057E0"/>
    <w:rsid w:val="00507A1A"/>
    <w:rsid w:val="00507AFF"/>
    <w:rsid w:val="0051011C"/>
    <w:rsid w:val="00510BC7"/>
    <w:rsid w:val="0051196F"/>
    <w:rsid w:val="00511991"/>
    <w:rsid w:val="00511EA3"/>
    <w:rsid w:val="00512B19"/>
    <w:rsid w:val="00512EBB"/>
    <w:rsid w:val="00513991"/>
    <w:rsid w:val="00513D3C"/>
    <w:rsid w:val="005145AC"/>
    <w:rsid w:val="00514832"/>
    <w:rsid w:val="00515ED3"/>
    <w:rsid w:val="00517979"/>
    <w:rsid w:val="00517F2F"/>
    <w:rsid w:val="00520CD0"/>
    <w:rsid w:val="00521A37"/>
    <w:rsid w:val="0052245F"/>
    <w:rsid w:val="00522E1C"/>
    <w:rsid w:val="00522EA2"/>
    <w:rsid w:val="0052311E"/>
    <w:rsid w:val="00523CF6"/>
    <w:rsid w:val="00523E05"/>
    <w:rsid w:val="0052466E"/>
    <w:rsid w:val="005248AC"/>
    <w:rsid w:val="005249E5"/>
    <w:rsid w:val="00524A3E"/>
    <w:rsid w:val="00524E67"/>
    <w:rsid w:val="00524E95"/>
    <w:rsid w:val="0052501D"/>
    <w:rsid w:val="00525C51"/>
    <w:rsid w:val="00526751"/>
    <w:rsid w:val="00526796"/>
    <w:rsid w:val="00526D3B"/>
    <w:rsid w:val="005278D9"/>
    <w:rsid w:val="00527A17"/>
    <w:rsid w:val="00530348"/>
    <w:rsid w:val="005304EE"/>
    <w:rsid w:val="00531099"/>
    <w:rsid w:val="00531834"/>
    <w:rsid w:val="00531C0D"/>
    <w:rsid w:val="00532B3A"/>
    <w:rsid w:val="00532BB9"/>
    <w:rsid w:val="005360EE"/>
    <w:rsid w:val="005370A0"/>
    <w:rsid w:val="00537185"/>
    <w:rsid w:val="0053737C"/>
    <w:rsid w:val="00540015"/>
    <w:rsid w:val="0054040E"/>
    <w:rsid w:val="00540528"/>
    <w:rsid w:val="0054057A"/>
    <w:rsid w:val="005407FB"/>
    <w:rsid w:val="0054098F"/>
    <w:rsid w:val="0054111C"/>
    <w:rsid w:val="005417BA"/>
    <w:rsid w:val="00543375"/>
    <w:rsid w:val="00544094"/>
    <w:rsid w:val="005441ED"/>
    <w:rsid w:val="0054430E"/>
    <w:rsid w:val="005443F6"/>
    <w:rsid w:val="00544937"/>
    <w:rsid w:val="00544F54"/>
    <w:rsid w:val="00545498"/>
    <w:rsid w:val="00545DB2"/>
    <w:rsid w:val="00546948"/>
    <w:rsid w:val="00546970"/>
    <w:rsid w:val="00546A3E"/>
    <w:rsid w:val="00547660"/>
    <w:rsid w:val="00547A65"/>
    <w:rsid w:val="00550E47"/>
    <w:rsid w:val="00550FD1"/>
    <w:rsid w:val="00551463"/>
    <w:rsid w:val="00551BB1"/>
    <w:rsid w:val="005527DB"/>
    <w:rsid w:val="00552AC9"/>
    <w:rsid w:val="00552B91"/>
    <w:rsid w:val="00552EA0"/>
    <w:rsid w:val="00553847"/>
    <w:rsid w:val="00553A88"/>
    <w:rsid w:val="0055440C"/>
    <w:rsid w:val="005550AD"/>
    <w:rsid w:val="00555217"/>
    <w:rsid w:val="00555A12"/>
    <w:rsid w:val="00555A4D"/>
    <w:rsid w:val="00556494"/>
    <w:rsid w:val="0055678C"/>
    <w:rsid w:val="00556B4F"/>
    <w:rsid w:val="00556D14"/>
    <w:rsid w:val="00556EEC"/>
    <w:rsid w:val="005573DA"/>
    <w:rsid w:val="00557E6A"/>
    <w:rsid w:val="005603FA"/>
    <w:rsid w:val="0056096B"/>
    <w:rsid w:val="005610F8"/>
    <w:rsid w:val="00561FB7"/>
    <w:rsid w:val="00562142"/>
    <w:rsid w:val="005624BD"/>
    <w:rsid w:val="005624DE"/>
    <w:rsid w:val="005628DC"/>
    <w:rsid w:val="00562D23"/>
    <w:rsid w:val="005633FD"/>
    <w:rsid w:val="0056340B"/>
    <w:rsid w:val="005635EE"/>
    <w:rsid w:val="005636B0"/>
    <w:rsid w:val="005646DF"/>
    <w:rsid w:val="00564C25"/>
    <w:rsid w:val="0056534C"/>
    <w:rsid w:val="0056633B"/>
    <w:rsid w:val="00566361"/>
    <w:rsid w:val="005669C1"/>
    <w:rsid w:val="00566A70"/>
    <w:rsid w:val="00566B5F"/>
    <w:rsid w:val="00566E15"/>
    <w:rsid w:val="0056738E"/>
    <w:rsid w:val="00567BC7"/>
    <w:rsid w:val="00570200"/>
    <w:rsid w:val="005734F3"/>
    <w:rsid w:val="00574059"/>
    <w:rsid w:val="0057456A"/>
    <w:rsid w:val="005749EA"/>
    <w:rsid w:val="00574C51"/>
    <w:rsid w:val="00574F12"/>
    <w:rsid w:val="00575366"/>
    <w:rsid w:val="0057578B"/>
    <w:rsid w:val="00575B42"/>
    <w:rsid w:val="00575D31"/>
    <w:rsid w:val="00576247"/>
    <w:rsid w:val="00576E44"/>
    <w:rsid w:val="00577725"/>
    <w:rsid w:val="00577DEA"/>
    <w:rsid w:val="005806D8"/>
    <w:rsid w:val="005807B4"/>
    <w:rsid w:val="005807B8"/>
    <w:rsid w:val="00580B7E"/>
    <w:rsid w:val="00580EA4"/>
    <w:rsid w:val="0058123B"/>
    <w:rsid w:val="0058133F"/>
    <w:rsid w:val="00581A65"/>
    <w:rsid w:val="00581DB5"/>
    <w:rsid w:val="00581E3F"/>
    <w:rsid w:val="005820F4"/>
    <w:rsid w:val="00582602"/>
    <w:rsid w:val="00583720"/>
    <w:rsid w:val="00583B14"/>
    <w:rsid w:val="00584B4C"/>
    <w:rsid w:val="00585161"/>
    <w:rsid w:val="00585190"/>
    <w:rsid w:val="0058530F"/>
    <w:rsid w:val="00585DEA"/>
    <w:rsid w:val="005860C7"/>
    <w:rsid w:val="00586139"/>
    <w:rsid w:val="00586154"/>
    <w:rsid w:val="00587DEC"/>
    <w:rsid w:val="0059044E"/>
    <w:rsid w:val="00590C29"/>
    <w:rsid w:val="00590C98"/>
    <w:rsid w:val="00590D59"/>
    <w:rsid w:val="005914B4"/>
    <w:rsid w:val="00591C15"/>
    <w:rsid w:val="005923B7"/>
    <w:rsid w:val="00592B78"/>
    <w:rsid w:val="005930DE"/>
    <w:rsid w:val="00593545"/>
    <w:rsid w:val="00593629"/>
    <w:rsid w:val="0059362A"/>
    <w:rsid w:val="005946A6"/>
    <w:rsid w:val="00594B5F"/>
    <w:rsid w:val="0059578B"/>
    <w:rsid w:val="0059598B"/>
    <w:rsid w:val="00596DFC"/>
    <w:rsid w:val="005971D0"/>
    <w:rsid w:val="005A06AA"/>
    <w:rsid w:val="005A0708"/>
    <w:rsid w:val="005A07E6"/>
    <w:rsid w:val="005A081B"/>
    <w:rsid w:val="005A0C3A"/>
    <w:rsid w:val="005A1B2E"/>
    <w:rsid w:val="005A1F18"/>
    <w:rsid w:val="005A26B7"/>
    <w:rsid w:val="005A2BD3"/>
    <w:rsid w:val="005A3AC2"/>
    <w:rsid w:val="005A3D10"/>
    <w:rsid w:val="005A3EAC"/>
    <w:rsid w:val="005A449B"/>
    <w:rsid w:val="005A463D"/>
    <w:rsid w:val="005A4914"/>
    <w:rsid w:val="005A4AB2"/>
    <w:rsid w:val="005A5236"/>
    <w:rsid w:val="005A5723"/>
    <w:rsid w:val="005A5AAB"/>
    <w:rsid w:val="005A72FF"/>
    <w:rsid w:val="005B0360"/>
    <w:rsid w:val="005B04F2"/>
    <w:rsid w:val="005B0BCB"/>
    <w:rsid w:val="005B0C49"/>
    <w:rsid w:val="005B0E54"/>
    <w:rsid w:val="005B104F"/>
    <w:rsid w:val="005B114C"/>
    <w:rsid w:val="005B237E"/>
    <w:rsid w:val="005B274A"/>
    <w:rsid w:val="005B2A7A"/>
    <w:rsid w:val="005B2B1A"/>
    <w:rsid w:val="005B448C"/>
    <w:rsid w:val="005B457F"/>
    <w:rsid w:val="005B63A7"/>
    <w:rsid w:val="005B6A85"/>
    <w:rsid w:val="005B6AC9"/>
    <w:rsid w:val="005B71DC"/>
    <w:rsid w:val="005B7313"/>
    <w:rsid w:val="005B77B0"/>
    <w:rsid w:val="005B7B1B"/>
    <w:rsid w:val="005C0CB0"/>
    <w:rsid w:val="005C0F77"/>
    <w:rsid w:val="005C18CF"/>
    <w:rsid w:val="005C2209"/>
    <w:rsid w:val="005C3877"/>
    <w:rsid w:val="005C389A"/>
    <w:rsid w:val="005C3AAA"/>
    <w:rsid w:val="005C4820"/>
    <w:rsid w:val="005C4833"/>
    <w:rsid w:val="005C4878"/>
    <w:rsid w:val="005C4991"/>
    <w:rsid w:val="005C4DFD"/>
    <w:rsid w:val="005C59A0"/>
    <w:rsid w:val="005C59C1"/>
    <w:rsid w:val="005C5B69"/>
    <w:rsid w:val="005C5EF5"/>
    <w:rsid w:val="005C6655"/>
    <w:rsid w:val="005C69BA"/>
    <w:rsid w:val="005C78E6"/>
    <w:rsid w:val="005C7A53"/>
    <w:rsid w:val="005D07F1"/>
    <w:rsid w:val="005D0FA4"/>
    <w:rsid w:val="005D1C07"/>
    <w:rsid w:val="005D1FD9"/>
    <w:rsid w:val="005D20FC"/>
    <w:rsid w:val="005D27C9"/>
    <w:rsid w:val="005D2D39"/>
    <w:rsid w:val="005D2E09"/>
    <w:rsid w:val="005D36B7"/>
    <w:rsid w:val="005D3F25"/>
    <w:rsid w:val="005D436E"/>
    <w:rsid w:val="005D5431"/>
    <w:rsid w:val="005D5601"/>
    <w:rsid w:val="005D56A1"/>
    <w:rsid w:val="005D5E42"/>
    <w:rsid w:val="005D5FDF"/>
    <w:rsid w:val="005D7F0D"/>
    <w:rsid w:val="005E0492"/>
    <w:rsid w:val="005E140A"/>
    <w:rsid w:val="005E16E4"/>
    <w:rsid w:val="005E1A18"/>
    <w:rsid w:val="005E2531"/>
    <w:rsid w:val="005E2966"/>
    <w:rsid w:val="005E2F7B"/>
    <w:rsid w:val="005E322E"/>
    <w:rsid w:val="005E3FD0"/>
    <w:rsid w:val="005E4282"/>
    <w:rsid w:val="005E4292"/>
    <w:rsid w:val="005E4DA8"/>
    <w:rsid w:val="005E53F6"/>
    <w:rsid w:val="005E61FD"/>
    <w:rsid w:val="005E678C"/>
    <w:rsid w:val="005E6982"/>
    <w:rsid w:val="005E7B31"/>
    <w:rsid w:val="005F0B05"/>
    <w:rsid w:val="005F210B"/>
    <w:rsid w:val="005F2857"/>
    <w:rsid w:val="005F28F1"/>
    <w:rsid w:val="005F4741"/>
    <w:rsid w:val="005F4877"/>
    <w:rsid w:val="005F4A7E"/>
    <w:rsid w:val="005F4B65"/>
    <w:rsid w:val="005F6B6E"/>
    <w:rsid w:val="005F7454"/>
    <w:rsid w:val="006000F8"/>
    <w:rsid w:val="0060048E"/>
    <w:rsid w:val="00600B3C"/>
    <w:rsid w:val="00600DED"/>
    <w:rsid w:val="00600F6C"/>
    <w:rsid w:val="00601619"/>
    <w:rsid w:val="00601D7F"/>
    <w:rsid w:val="00601E5B"/>
    <w:rsid w:val="00601F03"/>
    <w:rsid w:val="00602149"/>
    <w:rsid w:val="00602837"/>
    <w:rsid w:val="006031EC"/>
    <w:rsid w:val="0060396A"/>
    <w:rsid w:val="00603C81"/>
    <w:rsid w:val="00604BC2"/>
    <w:rsid w:val="00604E5A"/>
    <w:rsid w:val="00605A57"/>
    <w:rsid w:val="00605D12"/>
    <w:rsid w:val="00607368"/>
    <w:rsid w:val="006074D9"/>
    <w:rsid w:val="0060772C"/>
    <w:rsid w:val="00610352"/>
    <w:rsid w:val="00610B23"/>
    <w:rsid w:val="00610CF7"/>
    <w:rsid w:val="0061120D"/>
    <w:rsid w:val="0061123A"/>
    <w:rsid w:val="00611991"/>
    <w:rsid w:val="0061235F"/>
    <w:rsid w:val="006127C1"/>
    <w:rsid w:val="00613ABF"/>
    <w:rsid w:val="00613DAB"/>
    <w:rsid w:val="006141D9"/>
    <w:rsid w:val="00614CFC"/>
    <w:rsid w:val="00615547"/>
    <w:rsid w:val="006162C7"/>
    <w:rsid w:val="00617991"/>
    <w:rsid w:val="00620603"/>
    <w:rsid w:val="00620DAE"/>
    <w:rsid w:val="00620E41"/>
    <w:rsid w:val="006214C5"/>
    <w:rsid w:val="00621756"/>
    <w:rsid w:val="0062210F"/>
    <w:rsid w:val="00622467"/>
    <w:rsid w:val="00622483"/>
    <w:rsid w:val="00622EF2"/>
    <w:rsid w:val="00622F58"/>
    <w:rsid w:val="006235A7"/>
    <w:rsid w:val="00623A9B"/>
    <w:rsid w:val="00623B12"/>
    <w:rsid w:val="00623F93"/>
    <w:rsid w:val="00623FE0"/>
    <w:rsid w:val="00625198"/>
    <w:rsid w:val="00625343"/>
    <w:rsid w:val="00625FD1"/>
    <w:rsid w:val="006266B7"/>
    <w:rsid w:val="00626820"/>
    <w:rsid w:val="00627C5D"/>
    <w:rsid w:val="0063066D"/>
    <w:rsid w:val="0063088C"/>
    <w:rsid w:val="006313A8"/>
    <w:rsid w:val="006314FF"/>
    <w:rsid w:val="00631662"/>
    <w:rsid w:val="00631825"/>
    <w:rsid w:val="00631A36"/>
    <w:rsid w:val="00631A7B"/>
    <w:rsid w:val="00631D45"/>
    <w:rsid w:val="00631DF9"/>
    <w:rsid w:val="00633CD6"/>
    <w:rsid w:val="00633F65"/>
    <w:rsid w:val="006353F3"/>
    <w:rsid w:val="006358EF"/>
    <w:rsid w:val="00635CB2"/>
    <w:rsid w:val="00635D62"/>
    <w:rsid w:val="00636895"/>
    <w:rsid w:val="006376B2"/>
    <w:rsid w:val="00637D48"/>
    <w:rsid w:val="00637EA1"/>
    <w:rsid w:val="006400B2"/>
    <w:rsid w:val="006403B3"/>
    <w:rsid w:val="00641173"/>
    <w:rsid w:val="00641A07"/>
    <w:rsid w:val="0064240B"/>
    <w:rsid w:val="0064256C"/>
    <w:rsid w:val="006425A9"/>
    <w:rsid w:val="00642A36"/>
    <w:rsid w:val="00642BDD"/>
    <w:rsid w:val="00642DB2"/>
    <w:rsid w:val="00644E7D"/>
    <w:rsid w:val="00644FF7"/>
    <w:rsid w:val="0064600B"/>
    <w:rsid w:val="0064624A"/>
    <w:rsid w:val="00646A31"/>
    <w:rsid w:val="00646D90"/>
    <w:rsid w:val="006471F0"/>
    <w:rsid w:val="006476C9"/>
    <w:rsid w:val="00647773"/>
    <w:rsid w:val="006479CD"/>
    <w:rsid w:val="006479FD"/>
    <w:rsid w:val="00647D36"/>
    <w:rsid w:val="00650313"/>
    <w:rsid w:val="006528B2"/>
    <w:rsid w:val="00652A18"/>
    <w:rsid w:val="00652B9E"/>
    <w:rsid w:val="00652D08"/>
    <w:rsid w:val="00653BED"/>
    <w:rsid w:val="00653DFD"/>
    <w:rsid w:val="0065405C"/>
    <w:rsid w:val="006541F8"/>
    <w:rsid w:val="006543DD"/>
    <w:rsid w:val="00654B64"/>
    <w:rsid w:val="006553E4"/>
    <w:rsid w:val="006562C6"/>
    <w:rsid w:val="00656BD5"/>
    <w:rsid w:val="00656FFA"/>
    <w:rsid w:val="00657149"/>
    <w:rsid w:val="006579E2"/>
    <w:rsid w:val="00661213"/>
    <w:rsid w:val="00661640"/>
    <w:rsid w:val="0066166C"/>
    <w:rsid w:val="0066193B"/>
    <w:rsid w:val="006625BA"/>
    <w:rsid w:val="00662D8A"/>
    <w:rsid w:val="0066308E"/>
    <w:rsid w:val="00663187"/>
    <w:rsid w:val="00663279"/>
    <w:rsid w:val="006632DE"/>
    <w:rsid w:val="00664BC9"/>
    <w:rsid w:val="0066502E"/>
    <w:rsid w:val="0066566A"/>
    <w:rsid w:val="00665A40"/>
    <w:rsid w:val="0066682E"/>
    <w:rsid w:val="00666ADB"/>
    <w:rsid w:val="00666BC0"/>
    <w:rsid w:val="00666EE9"/>
    <w:rsid w:val="00667C19"/>
    <w:rsid w:val="00667D4F"/>
    <w:rsid w:val="00667DDE"/>
    <w:rsid w:val="00667F1C"/>
    <w:rsid w:val="0067065A"/>
    <w:rsid w:val="00671C8A"/>
    <w:rsid w:val="0067270E"/>
    <w:rsid w:val="00672A5C"/>
    <w:rsid w:val="00672BBE"/>
    <w:rsid w:val="00672CF7"/>
    <w:rsid w:val="006734C3"/>
    <w:rsid w:val="00673B03"/>
    <w:rsid w:val="00674128"/>
    <w:rsid w:val="00674E6D"/>
    <w:rsid w:val="006750FE"/>
    <w:rsid w:val="006759B8"/>
    <w:rsid w:val="006767B8"/>
    <w:rsid w:val="00676B24"/>
    <w:rsid w:val="0067755A"/>
    <w:rsid w:val="0067758D"/>
    <w:rsid w:val="00680579"/>
    <w:rsid w:val="006807E0"/>
    <w:rsid w:val="00680E6E"/>
    <w:rsid w:val="00681463"/>
    <w:rsid w:val="00681660"/>
    <w:rsid w:val="006819E8"/>
    <w:rsid w:val="00682CED"/>
    <w:rsid w:val="00684FD4"/>
    <w:rsid w:val="006854FE"/>
    <w:rsid w:val="006857C2"/>
    <w:rsid w:val="0068670D"/>
    <w:rsid w:val="0068681A"/>
    <w:rsid w:val="00686E86"/>
    <w:rsid w:val="00686F02"/>
    <w:rsid w:val="00687287"/>
    <w:rsid w:val="00687AE5"/>
    <w:rsid w:val="006901FB"/>
    <w:rsid w:val="006902F6"/>
    <w:rsid w:val="00690D75"/>
    <w:rsid w:val="00691424"/>
    <w:rsid w:val="006920A0"/>
    <w:rsid w:val="006920BA"/>
    <w:rsid w:val="00692289"/>
    <w:rsid w:val="00692F92"/>
    <w:rsid w:val="00694786"/>
    <w:rsid w:val="00694B00"/>
    <w:rsid w:val="00694F48"/>
    <w:rsid w:val="006951FE"/>
    <w:rsid w:val="00697240"/>
    <w:rsid w:val="0069748C"/>
    <w:rsid w:val="006A0102"/>
    <w:rsid w:val="006A0E23"/>
    <w:rsid w:val="006A15BD"/>
    <w:rsid w:val="006A278C"/>
    <w:rsid w:val="006A3382"/>
    <w:rsid w:val="006A3710"/>
    <w:rsid w:val="006A39E0"/>
    <w:rsid w:val="006A3C18"/>
    <w:rsid w:val="006A405D"/>
    <w:rsid w:val="006A40F5"/>
    <w:rsid w:val="006A45A1"/>
    <w:rsid w:val="006A45F0"/>
    <w:rsid w:val="006A547E"/>
    <w:rsid w:val="006A57F4"/>
    <w:rsid w:val="006A5ADD"/>
    <w:rsid w:val="006A5EC5"/>
    <w:rsid w:val="006A711A"/>
    <w:rsid w:val="006A7858"/>
    <w:rsid w:val="006A7F8F"/>
    <w:rsid w:val="006B0102"/>
    <w:rsid w:val="006B179D"/>
    <w:rsid w:val="006B35F7"/>
    <w:rsid w:val="006B36A8"/>
    <w:rsid w:val="006B413D"/>
    <w:rsid w:val="006B4F97"/>
    <w:rsid w:val="006B570E"/>
    <w:rsid w:val="006B5DC9"/>
    <w:rsid w:val="006B6C29"/>
    <w:rsid w:val="006B7096"/>
    <w:rsid w:val="006B728B"/>
    <w:rsid w:val="006B7374"/>
    <w:rsid w:val="006B783D"/>
    <w:rsid w:val="006C2B54"/>
    <w:rsid w:val="006C2F86"/>
    <w:rsid w:val="006C2F8E"/>
    <w:rsid w:val="006C36A0"/>
    <w:rsid w:val="006C3A54"/>
    <w:rsid w:val="006C3B80"/>
    <w:rsid w:val="006C3C56"/>
    <w:rsid w:val="006C3FD3"/>
    <w:rsid w:val="006C4045"/>
    <w:rsid w:val="006C411D"/>
    <w:rsid w:val="006C46E6"/>
    <w:rsid w:val="006C4C09"/>
    <w:rsid w:val="006C590D"/>
    <w:rsid w:val="006C610E"/>
    <w:rsid w:val="006C61C0"/>
    <w:rsid w:val="006C65F3"/>
    <w:rsid w:val="006C6A71"/>
    <w:rsid w:val="006C7614"/>
    <w:rsid w:val="006D0C42"/>
    <w:rsid w:val="006D12F0"/>
    <w:rsid w:val="006D1E6F"/>
    <w:rsid w:val="006D25F3"/>
    <w:rsid w:val="006D28BF"/>
    <w:rsid w:val="006D2E78"/>
    <w:rsid w:val="006D4054"/>
    <w:rsid w:val="006D44DB"/>
    <w:rsid w:val="006D44DF"/>
    <w:rsid w:val="006D450C"/>
    <w:rsid w:val="006D4596"/>
    <w:rsid w:val="006D4667"/>
    <w:rsid w:val="006D4CCA"/>
    <w:rsid w:val="006D71C6"/>
    <w:rsid w:val="006D7299"/>
    <w:rsid w:val="006D7415"/>
    <w:rsid w:val="006D7524"/>
    <w:rsid w:val="006D7C05"/>
    <w:rsid w:val="006E007D"/>
    <w:rsid w:val="006E1EFB"/>
    <w:rsid w:val="006E1F20"/>
    <w:rsid w:val="006E24F9"/>
    <w:rsid w:val="006E27EF"/>
    <w:rsid w:val="006E3051"/>
    <w:rsid w:val="006E338E"/>
    <w:rsid w:val="006E362D"/>
    <w:rsid w:val="006E4656"/>
    <w:rsid w:val="006E483A"/>
    <w:rsid w:val="006E5227"/>
    <w:rsid w:val="006E52AF"/>
    <w:rsid w:val="006E5E8C"/>
    <w:rsid w:val="006E6FB5"/>
    <w:rsid w:val="006E71C8"/>
    <w:rsid w:val="006F01A7"/>
    <w:rsid w:val="006F01B8"/>
    <w:rsid w:val="006F04F5"/>
    <w:rsid w:val="006F0545"/>
    <w:rsid w:val="006F0824"/>
    <w:rsid w:val="006F0928"/>
    <w:rsid w:val="006F12E7"/>
    <w:rsid w:val="006F145F"/>
    <w:rsid w:val="006F1BF0"/>
    <w:rsid w:val="006F2666"/>
    <w:rsid w:val="006F272F"/>
    <w:rsid w:val="006F2889"/>
    <w:rsid w:val="006F2CD7"/>
    <w:rsid w:val="006F2DFE"/>
    <w:rsid w:val="006F3153"/>
    <w:rsid w:val="006F37D0"/>
    <w:rsid w:val="006F3B0A"/>
    <w:rsid w:val="006F3EA9"/>
    <w:rsid w:val="006F4119"/>
    <w:rsid w:val="006F459C"/>
    <w:rsid w:val="006F46A4"/>
    <w:rsid w:val="006F4E40"/>
    <w:rsid w:val="006F503B"/>
    <w:rsid w:val="006F58B8"/>
    <w:rsid w:val="006F5BE1"/>
    <w:rsid w:val="006F6BFC"/>
    <w:rsid w:val="006F74EF"/>
    <w:rsid w:val="006F777F"/>
    <w:rsid w:val="007007A7"/>
    <w:rsid w:val="007010A2"/>
    <w:rsid w:val="0070184C"/>
    <w:rsid w:val="00701E75"/>
    <w:rsid w:val="00702D72"/>
    <w:rsid w:val="00702E51"/>
    <w:rsid w:val="00703F53"/>
    <w:rsid w:val="007041AA"/>
    <w:rsid w:val="007041D9"/>
    <w:rsid w:val="00704ABB"/>
    <w:rsid w:val="00704C50"/>
    <w:rsid w:val="0070524B"/>
    <w:rsid w:val="00705AA1"/>
    <w:rsid w:val="007061DA"/>
    <w:rsid w:val="00706C45"/>
    <w:rsid w:val="00706FEE"/>
    <w:rsid w:val="0070786B"/>
    <w:rsid w:val="00707F14"/>
    <w:rsid w:val="0071049C"/>
    <w:rsid w:val="007106D8"/>
    <w:rsid w:val="007108B9"/>
    <w:rsid w:val="007109A7"/>
    <w:rsid w:val="00710C21"/>
    <w:rsid w:val="00710E64"/>
    <w:rsid w:val="00711CBC"/>
    <w:rsid w:val="00712534"/>
    <w:rsid w:val="00712E1F"/>
    <w:rsid w:val="00713885"/>
    <w:rsid w:val="00713B71"/>
    <w:rsid w:val="007141C1"/>
    <w:rsid w:val="007143D7"/>
    <w:rsid w:val="00714592"/>
    <w:rsid w:val="0071478D"/>
    <w:rsid w:val="00714A3C"/>
    <w:rsid w:val="00715555"/>
    <w:rsid w:val="0071563B"/>
    <w:rsid w:val="007167D6"/>
    <w:rsid w:val="00716C2E"/>
    <w:rsid w:val="007177F3"/>
    <w:rsid w:val="00720F64"/>
    <w:rsid w:val="007210C7"/>
    <w:rsid w:val="0072111C"/>
    <w:rsid w:val="007228D1"/>
    <w:rsid w:val="007239CC"/>
    <w:rsid w:val="00724491"/>
    <w:rsid w:val="00726088"/>
    <w:rsid w:val="0072609C"/>
    <w:rsid w:val="0072656A"/>
    <w:rsid w:val="00726724"/>
    <w:rsid w:val="00726D7D"/>
    <w:rsid w:val="00726E0F"/>
    <w:rsid w:val="00727D52"/>
    <w:rsid w:val="00727F07"/>
    <w:rsid w:val="00730714"/>
    <w:rsid w:val="007308B6"/>
    <w:rsid w:val="00730CD4"/>
    <w:rsid w:val="00731266"/>
    <w:rsid w:val="007312AB"/>
    <w:rsid w:val="00731755"/>
    <w:rsid w:val="00731891"/>
    <w:rsid w:val="00731ECA"/>
    <w:rsid w:val="00733BA6"/>
    <w:rsid w:val="00734547"/>
    <w:rsid w:val="0073459F"/>
    <w:rsid w:val="00734B19"/>
    <w:rsid w:val="00734FF7"/>
    <w:rsid w:val="00736D49"/>
    <w:rsid w:val="00737C27"/>
    <w:rsid w:val="0074085E"/>
    <w:rsid w:val="007409E1"/>
    <w:rsid w:val="00740C72"/>
    <w:rsid w:val="007414F1"/>
    <w:rsid w:val="0074284A"/>
    <w:rsid w:val="00742976"/>
    <w:rsid w:val="007429C0"/>
    <w:rsid w:val="00742EBE"/>
    <w:rsid w:val="0074340D"/>
    <w:rsid w:val="007434BB"/>
    <w:rsid w:val="00743717"/>
    <w:rsid w:val="00744591"/>
    <w:rsid w:val="007446E0"/>
    <w:rsid w:val="0074531E"/>
    <w:rsid w:val="00745E3C"/>
    <w:rsid w:val="00746340"/>
    <w:rsid w:val="007464A2"/>
    <w:rsid w:val="00746926"/>
    <w:rsid w:val="00747A3A"/>
    <w:rsid w:val="00747A61"/>
    <w:rsid w:val="007500FD"/>
    <w:rsid w:val="00750267"/>
    <w:rsid w:val="0075087B"/>
    <w:rsid w:val="00750EB4"/>
    <w:rsid w:val="0075327B"/>
    <w:rsid w:val="00753430"/>
    <w:rsid w:val="00753B24"/>
    <w:rsid w:val="00753E9B"/>
    <w:rsid w:val="00754405"/>
    <w:rsid w:val="00754647"/>
    <w:rsid w:val="00754FBF"/>
    <w:rsid w:val="0075500C"/>
    <w:rsid w:val="00755522"/>
    <w:rsid w:val="00757411"/>
    <w:rsid w:val="00757461"/>
    <w:rsid w:val="00757A45"/>
    <w:rsid w:val="00760573"/>
    <w:rsid w:val="00761817"/>
    <w:rsid w:val="0076223A"/>
    <w:rsid w:val="00762791"/>
    <w:rsid w:val="00762AB5"/>
    <w:rsid w:val="00763070"/>
    <w:rsid w:val="0076334E"/>
    <w:rsid w:val="0076410A"/>
    <w:rsid w:val="00764426"/>
    <w:rsid w:val="00764E01"/>
    <w:rsid w:val="007651C0"/>
    <w:rsid w:val="00765C58"/>
    <w:rsid w:val="00765ECE"/>
    <w:rsid w:val="00766B46"/>
    <w:rsid w:val="00767082"/>
    <w:rsid w:val="00767E6A"/>
    <w:rsid w:val="00771233"/>
    <w:rsid w:val="00772575"/>
    <w:rsid w:val="00773A0E"/>
    <w:rsid w:val="0077431B"/>
    <w:rsid w:val="00774F23"/>
    <w:rsid w:val="0077630F"/>
    <w:rsid w:val="00776377"/>
    <w:rsid w:val="00776790"/>
    <w:rsid w:val="0077683B"/>
    <w:rsid w:val="00776F59"/>
    <w:rsid w:val="00777A09"/>
    <w:rsid w:val="00777E0A"/>
    <w:rsid w:val="007808A1"/>
    <w:rsid w:val="00780C33"/>
    <w:rsid w:val="00780DC9"/>
    <w:rsid w:val="00781892"/>
    <w:rsid w:val="00781991"/>
    <w:rsid w:val="007822E8"/>
    <w:rsid w:val="0078263B"/>
    <w:rsid w:val="00782AE0"/>
    <w:rsid w:val="0078388B"/>
    <w:rsid w:val="007849CB"/>
    <w:rsid w:val="0078558E"/>
    <w:rsid w:val="00786143"/>
    <w:rsid w:val="00786808"/>
    <w:rsid w:val="00787174"/>
    <w:rsid w:val="0078769F"/>
    <w:rsid w:val="00787A09"/>
    <w:rsid w:val="00787A85"/>
    <w:rsid w:val="007906A6"/>
    <w:rsid w:val="007922BE"/>
    <w:rsid w:val="007934C0"/>
    <w:rsid w:val="00795349"/>
    <w:rsid w:val="00795BCD"/>
    <w:rsid w:val="007962CD"/>
    <w:rsid w:val="007969FD"/>
    <w:rsid w:val="00797C49"/>
    <w:rsid w:val="00797D98"/>
    <w:rsid w:val="007A0537"/>
    <w:rsid w:val="007A09BE"/>
    <w:rsid w:val="007A283E"/>
    <w:rsid w:val="007A2C70"/>
    <w:rsid w:val="007A3947"/>
    <w:rsid w:val="007A3E93"/>
    <w:rsid w:val="007A4351"/>
    <w:rsid w:val="007A4681"/>
    <w:rsid w:val="007A49CC"/>
    <w:rsid w:val="007A4B3F"/>
    <w:rsid w:val="007A534E"/>
    <w:rsid w:val="007A5717"/>
    <w:rsid w:val="007A5C84"/>
    <w:rsid w:val="007A60FA"/>
    <w:rsid w:val="007A64D3"/>
    <w:rsid w:val="007A665B"/>
    <w:rsid w:val="007A78C3"/>
    <w:rsid w:val="007A7AA7"/>
    <w:rsid w:val="007A7E19"/>
    <w:rsid w:val="007B00CC"/>
    <w:rsid w:val="007B0330"/>
    <w:rsid w:val="007B0612"/>
    <w:rsid w:val="007B07A6"/>
    <w:rsid w:val="007B0FDB"/>
    <w:rsid w:val="007B191C"/>
    <w:rsid w:val="007B1FFF"/>
    <w:rsid w:val="007B2835"/>
    <w:rsid w:val="007B2CE5"/>
    <w:rsid w:val="007B3257"/>
    <w:rsid w:val="007B3625"/>
    <w:rsid w:val="007B37DF"/>
    <w:rsid w:val="007B41D8"/>
    <w:rsid w:val="007B4602"/>
    <w:rsid w:val="007B46F8"/>
    <w:rsid w:val="007B472F"/>
    <w:rsid w:val="007B4791"/>
    <w:rsid w:val="007B62CC"/>
    <w:rsid w:val="007B7CCC"/>
    <w:rsid w:val="007C063D"/>
    <w:rsid w:val="007C0767"/>
    <w:rsid w:val="007C0B8C"/>
    <w:rsid w:val="007C20F9"/>
    <w:rsid w:val="007C23F2"/>
    <w:rsid w:val="007C262E"/>
    <w:rsid w:val="007C26AF"/>
    <w:rsid w:val="007C32E7"/>
    <w:rsid w:val="007C390F"/>
    <w:rsid w:val="007C3DE0"/>
    <w:rsid w:val="007C3E1F"/>
    <w:rsid w:val="007C4AC1"/>
    <w:rsid w:val="007C4C84"/>
    <w:rsid w:val="007C4E76"/>
    <w:rsid w:val="007C5CAA"/>
    <w:rsid w:val="007C621D"/>
    <w:rsid w:val="007C6CE0"/>
    <w:rsid w:val="007C74BA"/>
    <w:rsid w:val="007C78C6"/>
    <w:rsid w:val="007D040F"/>
    <w:rsid w:val="007D10CF"/>
    <w:rsid w:val="007D15D4"/>
    <w:rsid w:val="007D171C"/>
    <w:rsid w:val="007D1CF7"/>
    <w:rsid w:val="007D1D1A"/>
    <w:rsid w:val="007D277A"/>
    <w:rsid w:val="007D2BD1"/>
    <w:rsid w:val="007D2C13"/>
    <w:rsid w:val="007D2C57"/>
    <w:rsid w:val="007D2E0D"/>
    <w:rsid w:val="007D3123"/>
    <w:rsid w:val="007D33EF"/>
    <w:rsid w:val="007D3C48"/>
    <w:rsid w:val="007D3D0E"/>
    <w:rsid w:val="007D418F"/>
    <w:rsid w:val="007D43BA"/>
    <w:rsid w:val="007D4D39"/>
    <w:rsid w:val="007D54F5"/>
    <w:rsid w:val="007D6483"/>
    <w:rsid w:val="007D66C8"/>
    <w:rsid w:val="007D6CEF"/>
    <w:rsid w:val="007D7DA3"/>
    <w:rsid w:val="007D7F0E"/>
    <w:rsid w:val="007E0460"/>
    <w:rsid w:val="007E0BBC"/>
    <w:rsid w:val="007E1151"/>
    <w:rsid w:val="007E1C55"/>
    <w:rsid w:val="007E1DB6"/>
    <w:rsid w:val="007E2DFB"/>
    <w:rsid w:val="007E324C"/>
    <w:rsid w:val="007E3B75"/>
    <w:rsid w:val="007E3DA2"/>
    <w:rsid w:val="007E563F"/>
    <w:rsid w:val="007E5C20"/>
    <w:rsid w:val="007E631A"/>
    <w:rsid w:val="007E6728"/>
    <w:rsid w:val="007E6E79"/>
    <w:rsid w:val="007E753E"/>
    <w:rsid w:val="007F0012"/>
    <w:rsid w:val="007F01C3"/>
    <w:rsid w:val="007F079F"/>
    <w:rsid w:val="007F0C43"/>
    <w:rsid w:val="007F0EFA"/>
    <w:rsid w:val="007F10BD"/>
    <w:rsid w:val="007F12BE"/>
    <w:rsid w:val="007F1998"/>
    <w:rsid w:val="007F2810"/>
    <w:rsid w:val="007F2BC1"/>
    <w:rsid w:val="007F351F"/>
    <w:rsid w:val="007F3BAF"/>
    <w:rsid w:val="007F40B6"/>
    <w:rsid w:val="007F47C5"/>
    <w:rsid w:val="007F58B1"/>
    <w:rsid w:val="007F68B5"/>
    <w:rsid w:val="007F6E90"/>
    <w:rsid w:val="007F7A61"/>
    <w:rsid w:val="007F7E7C"/>
    <w:rsid w:val="008009CD"/>
    <w:rsid w:val="008017F1"/>
    <w:rsid w:val="00801DED"/>
    <w:rsid w:val="00801E8D"/>
    <w:rsid w:val="0080277C"/>
    <w:rsid w:val="00803408"/>
    <w:rsid w:val="00804025"/>
    <w:rsid w:val="00804234"/>
    <w:rsid w:val="00804DD3"/>
    <w:rsid w:val="008051AB"/>
    <w:rsid w:val="00805C55"/>
    <w:rsid w:val="0080628A"/>
    <w:rsid w:val="0080630B"/>
    <w:rsid w:val="008065DD"/>
    <w:rsid w:val="00807144"/>
    <w:rsid w:val="008076BA"/>
    <w:rsid w:val="008079F6"/>
    <w:rsid w:val="00810817"/>
    <w:rsid w:val="00810962"/>
    <w:rsid w:val="00810C85"/>
    <w:rsid w:val="00811EE8"/>
    <w:rsid w:val="00811FC6"/>
    <w:rsid w:val="0081287F"/>
    <w:rsid w:val="00813112"/>
    <w:rsid w:val="00814A61"/>
    <w:rsid w:val="00814CBA"/>
    <w:rsid w:val="00814F01"/>
    <w:rsid w:val="00815499"/>
    <w:rsid w:val="0081553F"/>
    <w:rsid w:val="008155DE"/>
    <w:rsid w:val="0081560C"/>
    <w:rsid w:val="00816942"/>
    <w:rsid w:val="00816C9E"/>
    <w:rsid w:val="00816D7A"/>
    <w:rsid w:val="008170EE"/>
    <w:rsid w:val="00817943"/>
    <w:rsid w:val="00817AAA"/>
    <w:rsid w:val="008207CB"/>
    <w:rsid w:val="00820D1E"/>
    <w:rsid w:val="008210E6"/>
    <w:rsid w:val="00821B7C"/>
    <w:rsid w:val="00821BD5"/>
    <w:rsid w:val="008220ED"/>
    <w:rsid w:val="00822EA0"/>
    <w:rsid w:val="00822EE4"/>
    <w:rsid w:val="008237F2"/>
    <w:rsid w:val="00823B82"/>
    <w:rsid w:val="00823DF2"/>
    <w:rsid w:val="0082498C"/>
    <w:rsid w:val="00824E16"/>
    <w:rsid w:val="008256C4"/>
    <w:rsid w:val="008258BD"/>
    <w:rsid w:val="0082712D"/>
    <w:rsid w:val="008276C5"/>
    <w:rsid w:val="00827B73"/>
    <w:rsid w:val="00827EF4"/>
    <w:rsid w:val="00830447"/>
    <w:rsid w:val="00830CF2"/>
    <w:rsid w:val="00831230"/>
    <w:rsid w:val="008318A2"/>
    <w:rsid w:val="00832AFA"/>
    <w:rsid w:val="00832CFA"/>
    <w:rsid w:val="00833061"/>
    <w:rsid w:val="00834057"/>
    <w:rsid w:val="008340DD"/>
    <w:rsid w:val="00834D01"/>
    <w:rsid w:val="008350E5"/>
    <w:rsid w:val="00835FFF"/>
    <w:rsid w:val="0083678B"/>
    <w:rsid w:val="00836EAA"/>
    <w:rsid w:val="00836FBE"/>
    <w:rsid w:val="008370D4"/>
    <w:rsid w:val="0083765B"/>
    <w:rsid w:val="008378B3"/>
    <w:rsid w:val="008379F3"/>
    <w:rsid w:val="00840CA6"/>
    <w:rsid w:val="00840D39"/>
    <w:rsid w:val="00840E3D"/>
    <w:rsid w:val="00841DB9"/>
    <w:rsid w:val="008424E1"/>
    <w:rsid w:val="00842756"/>
    <w:rsid w:val="00842814"/>
    <w:rsid w:val="008428DC"/>
    <w:rsid w:val="00843C97"/>
    <w:rsid w:val="00843FB9"/>
    <w:rsid w:val="00844509"/>
    <w:rsid w:val="00844907"/>
    <w:rsid w:val="00845ACC"/>
    <w:rsid w:val="00845B69"/>
    <w:rsid w:val="00845E2F"/>
    <w:rsid w:val="0084669B"/>
    <w:rsid w:val="0084675D"/>
    <w:rsid w:val="00846A80"/>
    <w:rsid w:val="0084732E"/>
    <w:rsid w:val="00847353"/>
    <w:rsid w:val="00847530"/>
    <w:rsid w:val="00847D67"/>
    <w:rsid w:val="008512FC"/>
    <w:rsid w:val="00851A7E"/>
    <w:rsid w:val="00853219"/>
    <w:rsid w:val="0085322F"/>
    <w:rsid w:val="00853E99"/>
    <w:rsid w:val="00854125"/>
    <w:rsid w:val="0085417A"/>
    <w:rsid w:val="0085458C"/>
    <w:rsid w:val="008547F7"/>
    <w:rsid w:val="00854A0C"/>
    <w:rsid w:val="00856702"/>
    <w:rsid w:val="008575F5"/>
    <w:rsid w:val="00857A26"/>
    <w:rsid w:val="00857CA5"/>
    <w:rsid w:val="008601F5"/>
    <w:rsid w:val="008611BC"/>
    <w:rsid w:val="0086143C"/>
    <w:rsid w:val="008614A9"/>
    <w:rsid w:val="008619A2"/>
    <w:rsid w:val="008629E7"/>
    <w:rsid w:val="00863408"/>
    <w:rsid w:val="00863548"/>
    <w:rsid w:val="00863706"/>
    <w:rsid w:val="008637D5"/>
    <w:rsid w:val="00863871"/>
    <w:rsid w:val="008643BF"/>
    <w:rsid w:val="008643D3"/>
    <w:rsid w:val="00864AC6"/>
    <w:rsid w:val="00864C70"/>
    <w:rsid w:val="00864F28"/>
    <w:rsid w:val="00865037"/>
    <w:rsid w:val="00866C78"/>
    <w:rsid w:val="00867395"/>
    <w:rsid w:val="008678B1"/>
    <w:rsid w:val="00867D57"/>
    <w:rsid w:val="008701C5"/>
    <w:rsid w:val="008701E7"/>
    <w:rsid w:val="00870496"/>
    <w:rsid w:val="00870B40"/>
    <w:rsid w:val="00871399"/>
    <w:rsid w:val="00872919"/>
    <w:rsid w:val="00872ADB"/>
    <w:rsid w:val="00872D1A"/>
    <w:rsid w:val="008733B5"/>
    <w:rsid w:val="00873402"/>
    <w:rsid w:val="00874086"/>
    <w:rsid w:val="00874133"/>
    <w:rsid w:val="008742A7"/>
    <w:rsid w:val="00875519"/>
    <w:rsid w:val="00875662"/>
    <w:rsid w:val="00876EF0"/>
    <w:rsid w:val="00877E11"/>
    <w:rsid w:val="00880589"/>
    <w:rsid w:val="0088059C"/>
    <w:rsid w:val="0088187A"/>
    <w:rsid w:val="00881CC6"/>
    <w:rsid w:val="00881CCF"/>
    <w:rsid w:val="00882EF9"/>
    <w:rsid w:val="008837CA"/>
    <w:rsid w:val="008841A0"/>
    <w:rsid w:val="008845E5"/>
    <w:rsid w:val="00884666"/>
    <w:rsid w:val="00885346"/>
    <w:rsid w:val="00885E62"/>
    <w:rsid w:val="008860F1"/>
    <w:rsid w:val="0088629D"/>
    <w:rsid w:val="008862E4"/>
    <w:rsid w:val="0088671B"/>
    <w:rsid w:val="00887121"/>
    <w:rsid w:val="00887771"/>
    <w:rsid w:val="00887889"/>
    <w:rsid w:val="00887B25"/>
    <w:rsid w:val="00887DC5"/>
    <w:rsid w:val="00887DED"/>
    <w:rsid w:val="00890745"/>
    <w:rsid w:val="00890B49"/>
    <w:rsid w:val="00890D74"/>
    <w:rsid w:val="00890D88"/>
    <w:rsid w:val="00890FBF"/>
    <w:rsid w:val="00891433"/>
    <w:rsid w:val="0089198B"/>
    <w:rsid w:val="00891F8D"/>
    <w:rsid w:val="008922B1"/>
    <w:rsid w:val="00892AAC"/>
    <w:rsid w:val="0089307A"/>
    <w:rsid w:val="008930F7"/>
    <w:rsid w:val="008938FB"/>
    <w:rsid w:val="00893FC7"/>
    <w:rsid w:val="008946F5"/>
    <w:rsid w:val="008947F1"/>
    <w:rsid w:val="00894E32"/>
    <w:rsid w:val="008957D9"/>
    <w:rsid w:val="0089616F"/>
    <w:rsid w:val="0089692A"/>
    <w:rsid w:val="00896D19"/>
    <w:rsid w:val="00897ACE"/>
    <w:rsid w:val="008A0032"/>
    <w:rsid w:val="008A0F1D"/>
    <w:rsid w:val="008A1FC7"/>
    <w:rsid w:val="008A2E9D"/>
    <w:rsid w:val="008A4529"/>
    <w:rsid w:val="008A4DA8"/>
    <w:rsid w:val="008A59F9"/>
    <w:rsid w:val="008A5B39"/>
    <w:rsid w:val="008A6034"/>
    <w:rsid w:val="008A6320"/>
    <w:rsid w:val="008A7154"/>
    <w:rsid w:val="008A770D"/>
    <w:rsid w:val="008A7F1B"/>
    <w:rsid w:val="008B00EF"/>
    <w:rsid w:val="008B0A4F"/>
    <w:rsid w:val="008B10AA"/>
    <w:rsid w:val="008B146B"/>
    <w:rsid w:val="008B157C"/>
    <w:rsid w:val="008B248D"/>
    <w:rsid w:val="008B2864"/>
    <w:rsid w:val="008B2D9D"/>
    <w:rsid w:val="008B32EC"/>
    <w:rsid w:val="008B4189"/>
    <w:rsid w:val="008B45A3"/>
    <w:rsid w:val="008B573D"/>
    <w:rsid w:val="008B5A0D"/>
    <w:rsid w:val="008B5D00"/>
    <w:rsid w:val="008B635F"/>
    <w:rsid w:val="008B70CF"/>
    <w:rsid w:val="008C00BA"/>
    <w:rsid w:val="008C03DC"/>
    <w:rsid w:val="008C07BB"/>
    <w:rsid w:val="008C12F3"/>
    <w:rsid w:val="008C1640"/>
    <w:rsid w:val="008C1F05"/>
    <w:rsid w:val="008C1FA2"/>
    <w:rsid w:val="008C22FE"/>
    <w:rsid w:val="008C262E"/>
    <w:rsid w:val="008C2764"/>
    <w:rsid w:val="008C2DF1"/>
    <w:rsid w:val="008C32FC"/>
    <w:rsid w:val="008C34A3"/>
    <w:rsid w:val="008C46BC"/>
    <w:rsid w:val="008C4E5B"/>
    <w:rsid w:val="008C4F71"/>
    <w:rsid w:val="008C543C"/>
    <w:rsid w:val="008C5915"/>
    <w:rsid w:val="008C5989"/>
    <w:rsid w:val="008C5D6A"/>
    <w:rsid w:val="008C624A"/>
    <w:rsid w:val="008C6653"/>
    <w:rsid w:val="008C78C2"/>
    <w:rsid w:val="008C78F1"/>
    <w:rsid w:val="008C79F1"/>
    <w:rsid w:val="008C7A55"/>
    <w:rsid w:val="008C7A9F"/>
    <w:rsid w:val="008C7BC4"/>
    <w:rsid w:val="008D01C2"/>
    <w:rsid w:val="008D06ED"/>
    <w:rsid w:val="008D0712"/>
    <w:rsid w:val="008D075D"/>
    <w:rsid w:val="008D0D1D"/>
    <w:rsid w:val="008D28C6"/>
    <w:rsid w:val="008D2B86"/>
    <w:rsid w:val="008D44C1"/>
    <w:rsid w:val="008D494B"/>
    <w:rsid w:val="008D4A4B"/>
    <w:rsid w:val="008D4BE0"/>
    <w:rsid w:val="008D6125"/>
    <w:rsid w:val="008D641D"/>
    <w:rsid w:val="008D7843"/>
    <w:rsid w:val="008D7DD2"/>
    <w:rsid w:val="008E0008"/>
    <w:rsid w:val="008E05A0"/>
    <w:rsid w:val="008E0A3D"/>
    <w:rsid w:val="008E1641"/>
    <w:rsid w:val="008E1FC8"/>
    <w:rsid w:val="008E2178"/>
    <w:rsid w:val="008E2B9F"/>
    <w:rsid w:val="008E335B"/>
    <w:rsid w:val="008E36F7"/>
    <w:rsid w:val="008E39DC"/>
    <w:rsid w:val="008E3A34"/>
    <w:rsid w:val="008E3BDB"/>
    <w:rsid w:val="008E4E8B"/>
    <w:rsid w:val="008E513D"/>
    <w:rsid w:val="008E5351"/>
    <w:rsid w:val="008E6EA1"/>
    <w:rsid w:val="008E70B8"/>
    <w:rsid w:val="008E78C7"/>
    <w:rsid w:val="008E7CDD"/>
    <w:rsid w:val="008E7EDB"/>
    <w:rsid w:val="008F1671"/>
    <w:rsid w:val="008F1EDA"/>
    <w:rsid w:val="008F1FE3"/>
    <w:rsid w:val="008F204E"/>
    <w:rsid w:val="008F2484"/>
    <w:rsid w:val="008F3CC1"/>
    <w:rsid w:val="008F42D9"/>
    <w:rsid w:val="008F4644"/>
    <w:rsid w:val="008F4FF0"/>
    <w:rsid w:val="008F5D67"/>
    <w:rsid w:val="008F5D7D"/>
    <w:rsid w:val="008F7D40"/>
    <w:rsid w:val="0090124D"/>
    <w:rsid w:val="009019AB"/>
    <w:rsid w:val="00901CA2"/>
    <w:rsid w:val="009025D7"/>
    <w:rsid w:val="00902A1B"/>
    <w:rsid w:val="009032C2"/>
    <w:rsid w:val="0090387D"/>
    <w:rsid w:val="00903888"/>
    <w:rsid w:val="0090415B"/>
    <w:rsid w:val="00904266"/>
    <w:rsid w:val="00905C1C"/>
    <w:rsid w:val="00906B7A"/>
    <w:rsid w:val="00907FDB"/>
    <w:rsid w:val="00910662"/>
    <w:rsid w:val="00910B98"/>
    <w:rsid w:val="009120F5"/>
    <w:rsid w:val="00912BBA"/>
    <w:rsid w:val="00912F81"/>
    <w:rsid w:val="009130BE"/>
    <w:rsid w:val="00913D60"/>
    <w:rsid w:val="00913E26"/>
    <w:rsid w:val="0091417C"/>
    <w:rsid w:val="009142FA"/>
    <w:rsid w:val="00914814"/>
    <w:rsid w:val="009148FD"/>
    <w:rsid w:val="00914D93"/>
    <w:rsid w:val="00914F4E"/>
    <w:rsid w:val="0091574D"/>
    <w:rsid w:val="00915ABA"/>
    <w:rsid w:val="00915FB7"/>
    <w:rsid w:val="00916584"/>
    <w:rsid w:val="00916702"/>
    <w:rsid w:val="00916973"/>
    <w:rsid w:val="00917BA5"/>
    <w:rsid w:val="009207B3"/>
    <w:rsid w:val="00920887"/>
    <w:rsid w:val="00920B3C"/>
    <w:rsid w:val="00920F63"/>
    <w:rsid w:val="009212CD"/>
    <w:rsid w:val="0092187A"/>
    <w:rsid w:val="009218DF"/>
    <w:rsid w:val="00921CC1"/>
    <w:rsid w:val="00921FD8"/>
    <w:rsid w:val="00923158"/>
    <w:rsid w:val="0092324B"/>
    <w:rsid w:val="00923761"/>
    <w:rsid w:val="0092423A"/>
    <w:rsid w:val="0092439C"/>
    <w:rsid w:val="00924B1A"/>
    <w:rsid w:val="00925416"/>
    <w:rsid w:val="00925656"/>
    <w:rsid w:val="00926231"/>
    <w:rsid w:val="00926891"/>
    <w:rsid w:val="00926F41"/>
    <w:rsid w:val="00926FAC"/>
    <w:rsid w:val="00927295"/>
    <w:rsid w:val="009276EB"/>
    <w:rsid w:val="009278DD"/>
    <w:rsid w:val="009302D4"/>
    <w:rsid w:val="00930A1C"/>
    <w:rsid w:val="00930E24"/>
    <w:rsid w:val="00931A86"/>
    <w:rsid w:val="00931F45"/>
    <w:rsid w:val="00932BA3"/>
    <w:rsid w:val="00932D2C"/>
    <w:rsid w:val="00933786"/>
    <w:rsid w:val="00933E9A"/>
    <w:rsid w:val="0093443E"/>
    <w:rsid w:val="00935F48"/>
    <w:rsid w:val="00936364"/>
    <w:rsid w:val="00936A28"/>
    <w:rsid w:val="00937998"/>
    <w:rsid w:val="00937F9C"/>
    <w:rsid w:val="009406B4"/>
    <w:rsid w:val="00941AB0"/>
    <w:rsid w:val="00941F57"/>
    <w:rsid w:val="00942DAC"/>
    <w:rsid w:val="009437A9"/>
    <w:rsid w:val="00943FE2"/>
    <w:rsid w:val="009446A0"/>
    <w:rsid w:val="0094472A"/>
    <w:rsid w:val="00944C01"/>
    <w:rsid w:val="0094505D"/>
    <w:rsid w:val="009452F7"/>
    <w:rsid w:val="009454A3"/>
    <w:rsid w:val="009457E3"/>
    <w:rsid w:val="00945929"/>
    <w:rsid w:val="00945BDB"/>
    <w:rsid w:val="0094610D"/>
    <w:rsid w:val="0094633D"/>
    <w:rsid w:val="00946813"/>
    <w:rsid w:val="00946D44"/>
    <w:rsid w:val="009472F4"/>
    <w:rsid w:val="00947580"/>
    <w:rsid w:val="00947E83"/>
    <w:rsid w:val="00950F87"/>
    <w:rsid w:val="009514F3"/>
    <w:rsid w:val="00951768"/>
    <w:rsid w:val="00951C04"/>
    <w:rsid w:val="00951CF0"/>
    <w:rsid w:val="009520D1"/>
    <w:rsid w:val="00952257"/>
    <w:rsid w:val="00952312"/>
    <w:rsid w:val="009528F6"/>
    <w:rsid w:val="0095309A"/>
    <w:rsid w:val="009534B6"/>
    <w:rsid w:val="0095358E"/>
    <w:rsid w:val="00954326"/>
    <w:rsid w:val="00954608"/>
    <w:rsid w:val="00954B0D"/>
    <w:rsid w:val="009562A3"/>
    <w:rsid w:val="009562DA"/>
    <w:rsid w:val="00956467"/>
    <w:rsid w:val="00956608"/>
    <w:rsid w:val="00956F43"/>
    <w:rsid w:val="00956F96"/>
    <w:rsid w:val="009575AF"/>
    <w:rsid w:val="0095776D"/>
    <w:rsid w:val="00957BBD"/>
    <w:rsid w:val="0096057F"/>
    <w:rsid w:val="00960825"/>
    <w:rsid w:val="00960CAC"/>
    <w:rsid w:val="0096126B"/>
    <w:rsid w:val="00961EA8"/>
    <w:rsid w:val="00961F85"/>
    <w:rsid w:val="009621C6"/>
    <w:rsid w:val="0096224A"/>
    <w:rsid w:val="009626C1"/>
    <w:rsid w:val="009636C4"/>
    <w:rsid w:val="00965096"/>
    <w:rsid w:val="00965D58"/>
    <w:rsid w:val="0096627E"/>
    <w:rsid w:val="009664F7"/>
    <w:rsid w:val="009665D4"/>
    <w:rsid w:val="00966D55"/>
    <w:rsid w:val="009671C6"/>
    <w:rsid w:val="00967B11"/>
    <w:rsid w:val="009705E5"/>
    <w:rsid w:val="00971A5B"/>
    <w:rsid w:val="00971EB4"/>
    <w:rsid w:val="009725CA"/>
    <w:rsid w:val="00972A9B"/>
    <w:rsid w:val="0097395F"/>
    <w:rsid w:val="00974A7B"/>
    <w:rsid w:val="00974C10"/>
    <w:rsid w:val="009752A9"/>
    <w:rsid w:val="009752CA"/>
    <w:rsid w:val="00976575"/>
    <w:rsid w:val="00976B5F"/>
    <w:rsid w:val="00977093"/>
    <w:rsid w:val="00977859"/>
    <w:rsid w:val="0098073B"/>
    <w:rsid w:val="009808B6"/>
    <w:rsid w:val="009823B4"/>
    <w:rsid w:val="00982491"/>
    <w:rsid w:val="0098256D"/>
    <w:rsid w:val="00982DBB"/>
    <w:rsid w:val="00982F71"/>
    <w:rsid w:val="0098340F"/>
    <w:rsid w:val="009834FF"/>
    <w:rsid w:val="009835CF"/>
    <w:rsid w:val="009844A4"/>
    <w:rsid w:val="0098498C"/>
    <w:rsid w:val="00984E84"/>
    <w:rsid w:val="009854C9"/>
    <w:rsid w:val="00985728"/>
    <w:rsid w:val="00985FBE"/>
    <w:rsid w:val="009871FA"/>
    <w:rsid w:val="0098759C"/>
    <w:rsid w:val="0098788A"/>
    <w:rsid w:val="00987B0E"/>
    <w:rsid w:val="00987F80"/>
    <w:rsid w:val="00990A4D"/>
    <w:rsid w:val="0099130A"/>
    <w:rsid w:val="00991452"/>
    <w:rsid w:val="00992F03"/>
    <w:rsid w:val="009932F7"/>
    <w:rsid w:val="0099332F"/>
    <w:rsid w:val="009934B5"/>
    <w:rsid w:val="00993604"/>
    <w:rsid w:val="00993F0B"/>
    <w:rsid w:val="00994A5C"/>
    <w:rsid w:val="00994A97"/>
    <w:rsid w:val="00995413"/>
    <w:rsid w:val="00995A4D"/>
    <w:rsid w:val="009967AE"/>
    <w:rsid w:val="0099728C"/>
    <w:rsid w:val="00997864"/>
    <w:rsid w:val="009A0519"/>
    <w:rsid w:val="009A0657"/>
    <w:rsid w:val="009A11E0"/>
    <w:rsid w:val="009A1243"/>
    <w:rsid w:val="009A1C12"/>
    <w:rsid w:val="009A2C70"/>
    <w:rsid w:val="009A39A3"/>
    <w:rsid w:val="009A4079"/>
    <w:rsid w:val="009A5655"/>
    <w:rsid w:val="009A5D63"/>
    <w:rsid w:val="009A5E00"/>
    <w:rsid w:val="009A6365"/>
    <w:rsid w:val="009A64BE"/>
    <w:rsid w:val="009A64EA"/>
    <w:rsid w:val="009A6641"/>
    <w:rsid w:val="009A7338"/>
    <w:rsid w:val="009B0461"/>
    <w:rsid w:val="009B1AE6"/>
    <w:rsid w:val="009B1DF0"/>
    <w:rsid w:val="009B1E87"/>
    <w:rsid w:val="009B2149"/>
    <w:rsid w:val="009B2FBB"/>
    <w:rsid w:val="009B30AC"/>
    <w:rsid w:val="009B4116"/>
    <w:rsid w:val="009B417F"/>
    <w:rsid w:val="009B4322"/>
    <w:rsid w:val="009B444B"/>
    <w:rsid w:val="009B482B"/>
    <w:rsid w:val="009B5C86"/>
    <w:rsid w:val="009C0292"/>
    <w:rsid w:val="009C0894"/>
    <w:rsid w:val="009C17FD"/>
    <w:rsid w:val="009C22AB"/>
    <w:rsid w:val="009C2374"/>
    <w:rsid w:val="009C2494"/>
    <w:rsid w:val="009C269D"/>
    <w:rsid w:val="009C2D43"/>
    <w:rsid w:val="009C46A2"/>
    <w:rsid w:val="009C5002"/>
    <w:rsid w:val="009C519B"/>
    <w:rsid w:val="009C5318"/>
    <w:rsid w:val="009C58AF"/>
    <w:rsid w:val="009C5F2A"/>
    <w:rsid w:val="009C6331"/>
    <w:rsid w:val="009C7010"/>
    <w:rsid w:val="009C73F4"/>
    <w:rsid w:val="009C7575"/>
    <w:rsid w:val="009C7941"/>
    <w:rsid w:val="009C7CB7"/>
    <w:rsid w:val="009D0B0D"/>
    <w:rsid w:val="009D0B64"/>
    <w:rsid w:val="009D0BA2"/>
    <w:rsid w:val="009D1006"/>
    <w:rsid w:val="009D11D2"/>
    <w:rsid w:val="009D1A10"/>
    <w:rsid w:val="009D20D0"/>
    <w:rsid w:val="009D21B4"/>
    <w:rsid w:val="009D2342"/>
    <w:rsid w:val="009D2743"/>
    <w:rsid w:val="009D283F"/>
    <w:rsid w:val="009D29BC"/>
    <w:rsid w:val="009D29CB"/>
    <w:rsid w:val="009D2BDC"/>
    <w:rsid w:val="009D3B38"/>
    <w:rsid w:val="009D3B9B"/>
    <w:rsid w:val="009D3BAE"/>
    <w:rsid w:val="009D3FE2"/>
    <w:rsid w:val="009D4AEC"/>
    <w:rsid w:val="009D5108"/>
    <w:rsid w:val="009D5A24"/>
    <w:rsid w:val="009D5CCA"/>
    <w:rsid w:val="009D68A7"/>
    <w:rsid w:val="009D6D33"/>
    <w:rsid w:val="009D7B91"/>
    <w:rsid w:val="009D7F75"/>
    <w:rsid w:val="009E066B"/>
    <w:rsid w:val="009E0CB5"/>
    <w:rsid w:val="009E1C42"/>
    <w:rsid w:val="009E2044"/>
    <w:rsid w:val="009E3647"/>
    <w:rsid w:val="009E3D0E"/>
    <w:rsid w:val="009E3FA6"/>
    <w:rsid w:val="009E468C"/>
    <w:rsid w:val="009E4D1A"/>
    <w:rsid w:val="009E52E6"/>
    <w:rsid w:val="009E54ED"/>
    <w:rsid w:val="009E63A7"/>
    <w:rsid w:val="009E692A"/>
    <w:rsid w:val="009E7936"/>
    <w:rsid w:val="009E7D2D"/>
    <w:rsid w:val="009F02A2"/>
    <w:rsid w:val="009F0567"/>
    <w:rsid w:val="009F072D"/>
    <w:rsid w:val="009F0A99"/>
    <w:rsid w:val="009F0CF0"/>
    <w:rsid w:val="009F1AF5"/>
    <w:rsid w:val="009F2205"/>
    <w:rsid w:val="009F27A3"/>
    <w:rsid w:val="009F2BCC"/>
    <w:rsid w:val="009F2C76"/>
    <w:rsid w:val="009F2ECE"/>
    <w:rsid w:val="009F3431"/>
    <w:rsid w:val="009F3929"/>
    <w:rsid w:val="009F3E7C"/>
    <w:rsid w:val="009F3EE4"/>
    <w:rsid w:val="009F3F3D"/>
    <w:rsid w:val="009F4EAE"/>
    <w:rsid w:val="009F56F5"/>
    <w:rsid w:val="009F684C"/>
    <w:rsid w:val="009F70D7"/>
    <w:rsid w:val="009F72DA"/>
    <w:rsid w:val="009F74FB"/>
    <w:rsid w:val="009F7EC2"/>
    <w:rsid w:val="00A00295"/>
    <w:rsid w:val="00A00AFE"/>
    <w:rsid w:val="00A01FB8"/>
    <w:rsid w:val="00A02632"/>
    <w:rsid w:val="00A0263B"/>
    <w:rsid w:val="00A02EC9"/>
    <w:rsid w:val="00A034CF"/>
    <w:rsid w:val="00A036D0"/>
    <w:rsid w:val="00A03905"/>
    <w:rsid w:val="00A03ED2"/>
    <w:rsid w:val="00A04885"/>
    <w:rsid w:val="00A04CDE"/>
    <w:rsid w:val="00A0502F"/>
    <w:rsid w:val="00A059BE"/>
    <w:rsid w:val="00A06AC4"/>
    <w:rsid w:val="00A070A8"/>
    <w:rsid w:val="00A0724B"/>
    <w:rsid w:val="00A0762D"/>
    <w:rsid w:val="00A1055D"/>
    <w:rsid w:val="00A11438"/>
    <w:rsid w:val="00A13224"/>
    <w:rsid w:val="00A13412"/>
    <w:rsid w:val="00A135DF"/>
    <w:rsid w:val="00A1410D"/>
    <w:rsid w:val="00A1461B"/>
    <w:rsid w:val="00A14637"/>
    <w:rsid w:val="00A154F0"/>
    <w:rsid w:val="00A1600E"/>
    <w:rsid w:val="00A16BA0"/>
    <w:rsid w:val="00A16CC2"/>
    <w:rsid w:val="00A16D99"/>
    <w:rsid w:val="00A16FCA"/>
    <w:rsid w:val="00A1742C"/>
    <w:rsid w:val="00A17734"/>
    <w:rsid w:val="00A17DBC"/>
    <w:rsid w:val="00A17F1D"/>
    <w:rsid w:val="00A20753"/>
    <w:rsid w:val="00A2086D"/>
    <w:rsid w:val="00A20E43"/>
    <w:rsid w:val="00A21817"/>
    <w:rsid w:val="00A228D8"/>
    <w:rsid w:val="00A235EF"/>
    <w:rsid w:val="00A237D3"/>
    <w:rsid w:val="00A23ABC"/>
    <w:rsid w:val="00A23D66"/>
    <w:rsid w:val="00A243CE"/>
    <w:rsid w:val="00A245DD"/>
    <w:rsid w:val="00A25402"/>
    <w:rsid w:val="00A25B31"/>
    <w:rsid w:val="00A2619C"/>
    <w:rsid w:val="00A261AB"/>
    <w:rsid w:val="00A26219"/>
    <w:rsid w:val="00A26663"/>
    <w:rsid w:val="00A2699C"/>
    <w:rsid w:val="00A276D0"/>
    <w:rsid w:val="00A27C1D"/>
    <w:rsid w:val="00A27CB1"/>
    <w:rsid w:val="00A27FA8"/>
    <w:rsid w:val="00A30FAD"/>
    <w:rsid w:val="00A311EA"/>
    <w:rsid w:val="00A31379"/>
    <w:rsid w:val="00A318B3"/>
    <w:rsid w:val="00A31A11"/>
    <w:rsid w:val="00A31AFF"/>
    <w:rsid w:val="00A31BDE"/>
    <w:rsid w:val="00A322FD"/>
    <w:rsid w:val="00A32F87"/>
    <w:rsid w:val="00A3317E"/>
    <w:rsid w:val="00A3336B"/>
    <w:rsid w:val="00A33C2D"/>
    <w:rsid w:val="00A33D53"/>
    <w:rsid w:val="00A348B9"/>
    <w:rsid w:val="00A3638A"/>
    <w:rsid w:val="00A366CD"/>
    <w:rsid w:val="00A374AA"/>
    <w:rsid w:val="00A37D5B"/>
    <w:rsid w:val="00A37F47"/>
    <w:rsid w:val="00A402FC"/>
    <w:rsid w:val="00A40313"/>
    <w:rsid w:val="00A408B2"/>
    <w:rsid w:val="00A40CD1"/>
    <w:rsid w:val="00A40D0B"/>
    <w:rsid w:val="00A40F47"/>
    <w:rsid w:val="00A4178D"/>
    <w:rsid w:val="00A4184D"/>
    <w:rsid w:val="00A41BD2"/>
    <w:rsid w:val="00A42FDE"/>
    <w:rsid w:val="00A431C9"/>
    <w:rsid w:val="00A441A7"/>
    <w:rsid w:val="00A4479D"/>
    <w:rsid w:val="00A44D8B"/>
    <w:rsid w:val="00A454D0"/>
    <w:rsid w:val="00A4587E"/>
    <w:rsid w:val="00A45A44"/>
    <w:rsid w:val="00A45BE0"/>
    <w:rsid w:val="00A46A9E"/>
    <w:rsid w:val="00A47233"/>
    <w:rsid w:val="00A479BD"/>
    <w:rsid w:val="00A47B78"/>
    <w:rsid w:val="00A47FE1"/>
    <w:rsid w:val="00A5091C"/>
    <w:rsid w:val="00A50CB1"/>
    <w:rsid w:val="00A5117C"/>
    <w:rsid w:val="00A512FC"/>
    <w:rsid w:val="00A5152E"/>
    <w:rsid w:val="00A51B3D"/>
    <w:rsid w:val="00A51DC3"/>
    <w:rsid w:val="00A5215D"/>
    <w:rsid w:val="00A53001"/>
    <w:rsid w:val="00A53065"/>
    <w:rsid w:val="00A5384D"/>
    <w:rsid w:val="00A54F12"/>
    <w:rsid w:val="00A57543"/>
    <w:rsid w:val="00A57723"/>
    <w:rsid w:val="00A57836"/>
    <w:rsid w:val="00A57ABC"/>
    <w:rsid w:val="00A57BC0"/>
    <w:rsid w:val="00A57FA4"/>
    <w:rsid w:val="00A60819"/>
    <w:rsid w:val="00A60B7A"/>
    <w:rsid w:val="00A60C89"/>
    <w:rsid w:val="00A60DA8"/>
    <w:rsid w:val="00A61671"/>
    <w:rsid w:val="00A61FE0"/>
    <w:rsid w:val="00A6207E"/>
    <w:rsid w:val="00A62141"/>
    <w:rsid w:val="00A62395"/>
    <w:rsid w:val="00A62FD9"/>
    <w:rsid w:val="00A658DE"/>
    <w:rsid w:val="00A65A0A"/>
    <w:rsid w:val="00A66E2D"/>
    <w:rsid w:val="00A67333"/>
    <w:rsid w:val="00A67627"/>
    <w:rsid w:val="00A67CE7"/>
    <w:rsid w:val="00A701BD"/>
    <w:rsid w:val="00A7032E"/>
    <w:rsid w:val="00A705A4"/>
    <w:rsid w:val="00A712D0"/>
    <w:rsid w:val="00A7143E"/>
    <w:rsid w:val="00A71E70"/>
    <w:rsid w:val="00A72573"/>
    <w:rsid w:val="00A728FE"/>
    <w:rsid w:val="00A730CC"/>
    <w:rsid w:val="00A734D3"/>
    <w:rsid w:val="00A73614"/>
    <w:rsid w:val="00A73A0B"/>
    <w:rsid w:val="00A73FB7"/>
    <w:rsid w:val="00A7418B"/>
    <w:rsid w:val="00A745DE"/>
    <w:rsid w:val="00A747C6"/>
    <w:rsid w:val="00A74DD3"/>
    <w:rsid w:val="00A756F8"/>
    <w:rsid w:val="00A76063"/>
    <w:rsid w:val="00A764CA"/>
    <w:rsid w:val="00A764F9"/>
    <w:rsid w:val="00A765C2"/>
    <w:rsid w:val="00A76668"/>
    <w:rsid w:val="00A76F26"/>
    <w:rsid w:val="00A774A1"/>
    <w:rsid w:val="00A7775F"/>
    <w:rsid w:val="00A77910"/>
    <w:rsid w:val="00A77963"/>
    <w:rsid w:val="00A80EAF"/>
    <w:rsid w:val="00A80F64"/>
    <w:rsid w:val="00A812AD"/>
    <w:rsid w:val="00A815FE"/>
    <w:rsid w:val="00A821E8"/>
    <w:rsid w:val="00A82697"/>
    <w:rsid w:val="00A82719"/>
    <w:rsid w:val="00A829AC"/>
    <w:rsid w:val="00A835B3"/>
    <w:rsid w:val="00A84AC3"/>
    <w:rsid w:val="00A84CAF"/>
    <w:rsid w:val="00A854CA"/>
    <w:rsid w:val="00A854FB"/>
    <w:rsid w:val="00A855F3"/>
    <w:rsid w:val="00A856DF"/>
    <w:rsid w:val="00A85AAE"/>
    <w:rsid w:val="00A85C64"/>
    <w:rsid w:val="00A903CB"/>
    <w:rsid w:val="00A90FE6"/>
    <w:rsid w:val="00A91500"/>
    <w:rsid w:val="00A9156D"/>
    <w:rsid w:val="00A91CBE"/>
    <w:rsid w:val="00A92441"/>
    <w:rsid w:val="00A924EE"/>
    <w:rsid w:val="00A92F33"/>
    <w:rsid w:val="00A937CF"/>
    <w:rsid w:val="00A947CE"/>
    <w:rsid w:val="00A94B8E"/>
    <w:rsid w:val="00A94BF0"/>
    <w:rsid w:val="00A9540D"/>
    <w:rsid w:val="00A9730F"/>
    <w:rsid w:val="00A976CF"/>
    <w:rsid w:val="00A97D42"/>
    <w:rsid w:val="00AA0E54"/>
    <w:rsid w:val="00AA0EC1"/>
    <w:rsid w:val="00AA0EFA"/>
    <w:rsid w:val="00AA2156"/>
    <w:rsid w:val="00AA2690"/>
    <w:rsid w:val="00AA2C88"/>
    <w:rsid w:val="00AA3255"/>
    <w:rsid w:val="00AA38B5"/>
    <w:rsid w:val="00AA40BB"/>
    <w:rsid w:val="00AA422C"/>
    <w:rsid w:val="00AA43ED"/>
    <w:rsid w:val="00AA48A1"/>
    <w:rsid w:val="00AA5A7E"/>
    <w:rsid w:val="00AA5B85"/>
    <w:rsid w:val="00AA6F34"/>
    <w:rsid w:val="00AA78BA"/>
    <w:rsid w:val="00AB02FF"/>
    <w:rsid w:val="00AB08F9"/>
    <w:rsid w:val="00AB0CF2"/>
    <w:rsid w:val="00AB1285"/>
    <w:rsid w:val="00AB2064"/>
    <w:rsid w:val="00AB25DE"/>
    <w:rsid w:val="00AB3773"/>
    <w:rsid w:val="00AB38CB"/>
    <w:rsid w:val="00AB3C6F"/>
    <w:rsid w:val="00AB404A"/>
    <w:rsid w:val="00AB485E"/>
    <w:rsid w:val="00AB4932"/>
    <w:rsid w:val="00AB51BC"/>
    <w:rsid w:val="00AB58C3"/>
    <w:rsid w:val="00AB5FB1"/>
    <w:rsid w:val="00AB6411"/>
    <w:rsid w:val="00AB646C"/>
    <w:rsid w:val="00AB685A"/>
    <w:rsid w:val="00AB7BB6"/>
    <w:rsid w:val="00AB7CAF"/>
    <w:rsid w:val="00AB7D6A"/>
    <w:rsid w:val="00AB7F2E"/>
    <w:rsid w:val="00AC0F09"/>
    <w:rsid w:val="00AC1326"/>
    <w:rsid w:val="00AC1E87"/>
    <w:rsid w:val="00AC25B4"/>
    <w:rsid w:val="00AC263F"/>
    <w:rsid w:val="00AC2B78"/>
    <w:rsid w:val="00AC3843"/>
    <w:rsid w:val="00AC3AE2"/>
    <w:rsid w:val="00AC42F2"/>
    <w:rsid w:val="00AC4655"/>
    <w:rsid w:val="00AC5499"/>
    <w:rsid w:val="00AC558B"/>
    <w:rsid w:val="00AC5EF7"/>
    <w:rsid w:val="00AC71DF"/>
    <w:rsid w:val="00AC7C4E"/>
    <w:rsid w:val="00AD0C8A"/>
    <w:rsid w:val="00AD0CA7"/>
    <w:rsid w:val="00AD0E8C"/>
    <w:rsid w:val="00AD12AE"/>
    <w:rsid w:val="00AD19C7"/>
    <w:rsid w:val="00AD25FB"/>
    <w:rsid w:val="00AD2697"/>
    <w:rsid w:val="00AD29F7"/>
    <w:rsid w:val="00AD2C84"/>
    <w:rsid w:val="00AD2FD3"/>
    <w:rsid w:val="00AD3128"/>
    <w:rsid w:val="00AD5011"/>
    <w:rsid w:val="00AD537B"/>
    <w:rsid w:val="00AD56CF"/>
    <w:rsid w:val="00AD57AE"/>
    <w:rsid w:val="00AD5A72"/>
    <w:rsid w:val="00AD63A7"/>
    <w:rsid w:val="00AD66A9"/>
    <w:rsid w:val="00AD731D"/>
    <w:rsid w:val="00AD79FD"/>
    <w:rsid w:val="00AE038B"/>
    <w:rsid w:val="00AE0393"/>
    <w:rsid w:val="00AE0939"/>
    <w:rsid w:val="00AE17ED"/>
    <w:rsid w:val="00AE192B"/>
    <w:rsid w:val="00AE2841"/>
    <w:rsid w:val="00AE2B71"/>
    <w:rsid w:val="00AE2CAE"/>
    <w:rsid w:val="00AE304B"/>
    <w:rsid w:val="00AE3153"/>
    <w:rsid w:val="00AE373A"/>
    <w:rsid w:val="00AE3762"/>
    <w:rsid w:val="00AE37E0"/>
    <w:rsid w:val="00AE3B71"/>
    <w:rsid w:val="00AE3E7B"/>
    <w:rsid w:val="00AE44F7"/>
    <w:rsid w:val="00AE467A"/>
    <w:rsid w:val="00AE471F"/>
    <w:rsid w:val="00AE4D98"/>
    <w:rsid w:val="00AE4EE0"/>
    <w:rsid w:val="00AE5966"/>
    <w:rsid w:val="00AE5C08"/>
    <w:rsid w:val="00AE5F75"/>
    <w:rsid w:val="00AE6058"/>
    <w:rsid w:val="00AE6673"/>
    <w:rsid w:val="00AE6927"/>
    <w:rsid w:val="00AE6E29"/>
    <w:rsid w:val="00AE7842"/>
    <w:rsid w:val="00AF027F"/>
    <w:rsid w:val="00AF061C"/>
    <w:rsid w:val="00AF0841"/>
    <w:rsid w:val="00AF1B9C"/>
    <w:rsid w:val="00AF206F"/>
    <w:rsid w:val="00AF2115"/>
    <w:rsid w:val="00AF271C"/>
    <w:rsid w:val="00AF3159"/>
    <w:rsid w:val="00AF32EE"/>
    <w:rsid w:val="00AF333E"/>
    <w:rsid w:val="00AF4544"/>
    <w:rsid w:val="00AF4A5D"/>
    <w:rsid w:val="00AF4C93"/>
    <w:rsid w:val="00AF4D0E"/>
    <w:rsid w:val="00AF6EBE"/>
    <w:rsid w:val="00AF72E9"/>
    <w:rsid w:val="00AF7D2C"/>
    <w:rsid w:val="00B011B9"/>
    <w:rsid w:val="00B01589"/>
    <w:rsid w:val="00B0175B"/>
    <w:rsid w:val="00B01962"/>
    <w:rsid w:val="00B035CD"/>
    <w:rsid w:val="00B0497F"/>
    <w:rsid w:val="00B04F36"/>
    <w:rsid w:val="00B062FA"/>
    <w:rsid w:val="00B0773B"/>
    <w:rsid w:val="00B077AF"/>
    <w:rsid w:val="00B10718"/>
    <w:rsid w:val="00B10C40"/>
    <w:rsid w:val="00B10EC6"/>
    <w:rsid w:val="00B1148C"/>
    <w:rsid w:val="00B11D40"/>
    <w:rsid w:val="00B13275"/>
    <w:rsid w:val="00B13946"/>
    <w:rsid w:val="00B13BD9"/>
    <w:rsid w:val="00B13EA6"/>
    <w:rsid w:val="00B1455B"/>
    <w:rsid w:val="00B155ED"/>
    <w:rsid w:val="00B15629"/>
    <w:rsid w:val="00B156A2"/>
    <w:rsid w:val="00B1600E"/>
    <w:rsid w:val="00B16807"/>
    <w:rsid w:val="00B17173"/>
    <w:rsid w:val="00B1721B"/>
    <w:rsid w:val="00B17438"/>
    <w:rsid w:val="00B17878"/>
    <w:rsid w:val="00B206D2"/>
    <w:rsid w:val="00B20D02"/>
    <w:rsid w:val="00B21197"/>
    <w:rsid w:val="00B21302"/>
    <w:rsid w:val="00B21625"/>
    <w:rsid w:val="00B21818"/>
    <w:rsid w:val="00B21F4E"/>
    <w:rsid w:val="00B236ED"/>
    <w:rsid w:val="00B23829"/>
    <w:rsid w:val="00B25278"/>
    <w:rsid w:val="00B255B9"/>
    <w:rsid w:val="00B256A0"/>
    <w:rsid w:val="00B258C9"/>
    <w:rsid w:val="00B2603B"/>
    <w:rsid w:val="00B26159"/>
    <w:rsid w:val="00B271C3"/>
    <w:rsid w:val="00B27A57"/>
    <w:rsid w:val="00B27B8F"/>
    <w:rsid w:val="00B30EF7"/>
    <w:rsid w:val="00B30FED"/>
    <w:rsid w:val="00B31C1C"/>
    <w:rsid w:val="00B31C33"/>
    <w:rsid w:val="00B31C5D"/>
    <w:rsid w:val="00B320DD"/>
    <w:rsid w:val="00B3211D"/>
    <w:rsid w:val="00B3231F"/>
    <w:rsid w:val="00B326DD"/>
    <w:rsid w:val="00B32C55"/>
    <w:rsid w:val="00B32D93"/>
    <w:rsid w:val="00B33346"/>
    <w:rsid w:val="00B33C12"/>
    <w:rsid w:val="00B33C33"/>
    <w:rsid w:val="00B33DA8"/>
    <w:rsid w:val="00B34535"/>
    <w:rsid w:val="00B34B24"/>
    <w:rsid w:val="00B35A2D"/>
    <w:rsid w:val="00B364DF"/>
    <w:rsid w:val="00B36D1B"/>
    <w:rsid w:val="00B37536"/>
    <w:rsid w:val="00B37570"/>
    <w:rsid w:val="00B37855"/>
    <w:rsid w:val="00B37C55"/>
    <w:rsid w:val="00B37FF2"/>
    <w:rsid w:val="00B409D2"/>
    <w:rsid w:val="00B40E51"/>
    <w:rsid w:val="00B4147E"/>
    <w:rsid w:val="00B420BD"/>
    <w:rsid w:val="00B424B2"/>
    <w:rsid w:val="00B4262E"/>
    <w:rsid w:val="00B42F99"/>
    <w:rsid w:val="00B43425"/>
    <w:rsid w:val="00B43E25"/>
    <w:rsid w:val="00B43E90"/>
    <w:rsid w:val="00B4475B"/>
    <w:rsid w:val="00B447F7"/>
    <w:rsid w:val="00B448B2"/>
    <w:rsid w:val="00B44F14"/>
    <w:rsid w:val="00B4558C"/>
    <w:rsid w:val="00B45F6F"/>
    <w:rsid w:val="00B479D1"/>
    <w:rsid w:val="00B47D5D"/>
    <w:rsid w:val="00B50BBA"/>
    <w:rsid w:val="00B51CFD"/>
    <w:rsid w:val="00B51DD6"/>
    <w:rsid w:val="00B52474"/>
    <w:rsid w:val="00B52B43"/>
    <w:rsid w:val="00B53327"/>
    <w:rsid w:val="00B53FE7"/>
    <w:rsid w:val="00B549A5"/>
    <w:rsid w:val="00B54A61"/>
    <w:rsid w:val="00B56615"/>
    <w:rsid w:val="00B5715B"/>
    <w:rsid w:val="00B579D1"/>
    <w:rsid w:val="00B57B18"/>
    <w:rsid w:val="00B60207"/>
    <w:rsid w:val="00B60DAE"/>
    <w:rsid w:val="00B61272"/>
    <w:rsid w:val="00B6177B"/>
    <w:rsid w:val="00B61E3E"/>
    <w:rsid w:val="00B61E52"/>
    <w:rsid w:val="00B62794"/>
    <w:rsid w:val="00B63764"/>
    <w:rsid w:val="00B63FF0"/>
    <w:rsid w:val="00B64D8B"/>
    <w:rsid w:val="00B65095"/>
    <w:rsid w:val="00B6582C"/>
    <w:rsid w:val="00B65A7E"/>
    <w:rsid w:val="00B65C8C"/>
    <w:rsid w:val="00B65FF6"/>
    <w:rsid w:val="00B660F1"/>
    <w:rsid w:val="00B66400"/>
    <w:rsid w:val="00B66A8B"/>
    <w:rsid w:val="00B66B83"/>
    <w:rsid w:val="00B66E3A"/>
    <w:rsid w:val="00B67A45"/>
    <w:rsid w:val="00B67C90"/>
    <w:rsid w:val="00B7070B"/>
    <w:rsid w:val="00B70D3D"/>
    <w:rsid w:val="00B7152A"/>
    <w:rsid w:val="00B719FC"/>
    <w:rsid w:val="00B71EA2"/>
    <w:rsid w:val="00B72119"/>
    <w:rsid w:val="00B722D3"/>
    <w:rsid w:val="00B7364A"/>
    <w:rsid w:val="00B73B15"/>
    <w:rsid w:val="00B73D77"/>
    <w:rsid w:val="00B73FA5"/>
    <w:rsid w:val="00B748CF"/>
    <w:rsid w:val="00B752E2"/>
    <w:rsid w:val="00B75567"/>
    <w:rsid w:val="00B77653"/>
    <w:rsid w:val="00B77CED"/>
    <w:rsid w:val="00B8004C"/>
    <w:rsid w:val="00B801DC"/>
    <w:rsid w:val="00B80492"/>
    <w:rsid w:val="00B80DA1"/>
    <w:rsid w:val="00B81073"/>
    <w:rsid w:val="00B813D2"/>
    <w:rsid w:val="00B8144F"/>
    <w:rsid w:val="00B8172D"/>
    <w:rsid w:val="00B8248F"/>
    <w:rsid w:val="00B82609"/>
    <w:rsid w:val="00B828CC"/>
    <w:rsid w:val="00B82FF5"/>
    <w:rsid w:val="00B8312D"/>
    <w:rsid w:val="00B8330F"/>
    <w:rsid w:val="00B83B45"/>
    <w:rsid w:val="00B83FAF"/>
    <w:rsid w:val="00B846C3"/>
    <w:rsid w:val="00B8488B"/>
    <w:rsid w:val="00B84E3A"/>
    <w:rsid w:val="00B8555A"/>
    <w:rsid w:val="00B8581A"/>
    <w:rsid w:val="00B85A1E"/>
    <w:rsid w:val="00B86BAC"/>
    <w:rsid w:val="00B86BFA"/>
    <w:rsid w:val="00B8714B"/>
    <w:rsid w:val="00B874A8"/>
    <w:rsid w:val="00B87697"/>
    <w:rsid w:val="00B87958"/>
    <w:rsid w:val="00B90ACD"/>
    <w:rsid w:val="00B91696"/>
    <w:rsid w:val="00B922C9"/>
    <w:rsid w:val="00B92462"/>
    <w:rsid w:val="00B926BA"/>
    <w:rsid w:val="00B946E3"/>
    <w:rsid w:val="00B9498B"/>
    <w:rsid w:val="00B950A4"/>
    <w:rsid w:val="00B9552E"/>
    <w:rsid w:val="00B95BB1"/>
    <w:rsid w:val="00B95CE4"/>
    <w:rsid w:val="00B9607E"/>
    <w:rsid w:val="00B967BA"/>
    <w:rsid w:val="00B96947"/>
    <w:rsid w:val="00B96DDA"/>
    <w:rsid w:val="00B96E28"/>
    <w:rsid w:val="00B96F25"/>
    <w:rsid w:val="00BA09C0"/>
    <w:rsid w:val="00BA0D24"/>
    <w:rsid w:val="00BA1028"/>
    <w:rsid w:val="00BA1D56"/>
    <w:rsid w:val="00BA2C17"/>
    <w:rsid w:val="00BA2E0B"/>
    <w:rsid w:val="00BA3342"/>
    <w:rsid w:val="00BA3371"/>
    <w:rsid w:val="00BA3461"/>
    <w:rsid w:val="00BA3DD4"/>
    <w:rsid w:val="00BA4933"/>
    <w:rsid w:val="00BA4F6B"/>
    <w:rsid w:val="00BA52E6"/>
    <w:rsid w:val="00BA676E"/>
    <w:rsid w:val="00BB0C6E"/>
    <w:rsid w:val="00BB16B0"/>
    <w:rsid w:val="00BB2885"/>
    <w:rsid w:val="00BB2E57"/>
    <w:rsid w:val="00BB31BB"/>
    <w:rsid w:val="00BB3D3F"/>
    <w:rsid w:val="00BB3EB7"/>
    <w:rsid w:val="00BB4143"/>
    <w:rsid w:val="00BB4C1F"/>
    <w:rsid w:val="00BB5202"/>
    <w:rsid w:val="00BB535C"/>
    <w:rsid w:val="00BB6464"/>
    <w:rsid w:val="00BB6752"/>
    <w:rsid w:val="00BB6DA9"/>
    <w:rsid w:val="00BB79A6"/>
    <w:rsid w:val="00BC010F"/>
    <w:rsid w:val="00BC1FF9"/>
    <w:rsid w:val="00BC2819"/>
    <w:rsid w:val="00BC2A48"/>
    <w:rsid w:val="00BC3456"/>
    <w:rsid w:val="00BC35E4"/>
    <w:rsid w:val="00BC3C19"/>
    <w:rsid w:val="00BC43F1"/>
    <w:rsid w:val="00BC4894"/>
    <w:rsid w:val="00BC4A7E"/>
    <w:rsid w:val="00BC539B"/>
    <w:rsid w:val="00BC5B50"/>
    <w:rsid w:val="00BC5C51"/>
    <w:rsid w:val="00BC61C5"/>
    <w:rsid w:val="00BC6CA2"/>
    <w:rsid w:val="00BC6D7C"/>
    <w:rsid w:val="00BC701E"/>
    <w:rsid w:val="00BC74D5"/>
    <w:rsid w:val="00BC7C0A"/>
    <w:rsid w:val="00BD0C37"/>
    <w:rsid w:val="00BD0EB5"/>
    <w:rsid w:val="00BD13AE"/>
    <w:rsid w:val="00BD1523"/>
    <w:rsid w:val="00BD2536"/>
    <w:rsid w:val="00BD2C20"/>
    <w:rsid w:val="00BD2EB4"/>
    <w:rsid w:val="00BD308E"/>
    <w:rsid w:val="00BD331B"/>
    <w:rsid w:val="00BD3851"/>
    <w:rsid w:val="00BD3DE0"/>
    <w:rsid w:val="00BD401E"/>
    <w:rsid w:val="00BD40B9"/>
    <w:rsid w:val="00BD42E6"/>
    <w:rsid w:val="00BD4434"/>
    <w:rsid w:val="00BD44A0"/>
    <w:rsid w:val="00BD4A6B"/>
    <w:rsid w:val="00BD4D0C"/>
    <w:rsid w:val="00BD4D97"/>
    <w:rsid w:val="00BD4E5E"/>
    <w:rsid w:val="00BD556C"/>
    <w:rsid w:val="00BD5BC3"/>
    <w:rsid w:val="00BD611B"/>
    <w:rsid w:val="00BD64A0"/>
    <w:rsid w:val="00BD6A1E"/>
    <w:rsid w:val="00BD6EC3"/>
    <w:rsid w:val="00BD72E5"/>
    <w:rsid w:val="00BD7E5F"/>
    <w:rsid w:val="00BE0272"/>
    <w:rsid w:val="00BE12F9"/>
    <w:rsid w:val="00BE1890"/>
    <w:rsid w:val="00BE1E39"/>
    <w:rsid w:val="00BE20E0"/>
    <w:rsid w:val="00BE2454"/>
    <w:rsid w:val="00BE24FE"/>
    <w:rsid w:val="00BE3C21"/>
    <w:rsid w:val="00BE404A"/>
    <w:rsid w:val="00BE477E"/>
    <w:rsid w:val="00BE496E"/>
    <w:rsid w:val="00BE53AE"/>
    <w:rsid w:val="00BE55C6"/>
    <w:rsid w:val="00BE6E1B"/>
    <w:rsid w:val="00BE7633"/>
    <w:rsid w:val="00BE7F16"/>
    <w:rsid w:val="00BF0966"/>
    <w:rsid w:val="00BF0996"/>
    <w:rsid w:val="00BF0EF5"/>
    <w:rsid w:val="00BF1BA2"/>
    <w:rsid w:val="00BF1FF7"/>
    <w:rsid w:val="00BF2840"/>
    <w:rsid w:val="00BF29D0"/>
    <w:rsid w:val="00BF35F2"/>
    <w:rsid w:val="00BF384A"/>
    <w:rsid w:val="00BF396B"/>
    <w:rsid w:val="00BF3CD4"/>
    <w:rsid w:val="00BF4802"/>
    <w:rsid w:val="00BF4CB2"/>
    <w:rsid w:val="00BF6C61"/>
    <w:rsid w:val="00BF7297"/>
    <w:rsid w:val="00BF7504"/>
    <w:rsid w:val="00BF7B59"/>
    <w:rsid w:val="00BF7F92"/>
    <w:rsid w:val="00C00379"/>
    <w:rsid w:val="00C009AE"/>
    <w:rsid w:val="00C01536"/>
    <w:rsid w:val="00C019F6"/>
    <w:rsid w:val="00C019FA"/>
    <w:rsid w:val="00C01B0B"/>
    <w:rsid w:val="00C02B9A"/>
    <w:rsid w:val="00C033DC"/>
    <w:rsid w:val="00C0402C"/>
    <w:rsid w:val="00C0419C"/>
    <w:rsid w:val="00C0433B"/>
    <w:rsid w:val="00C04A61"/>
    <w:rsid w:val="00C04DF5"/>
    <w:rsid w:val="00C054ED"/>
    <w:rsid w:val="00C06D96"/>
    <w:rsid w:val="00C06F31"/>
    <w:rsid w:val="00C071A2"/>
    <w:rsid w:val="00C078C2"/>
    <w:rsid w:val="00C07B90"/>
    <w:rsid w:val="00C07DA8"/>
    <w:rsid w:val="00C07E36"/>
    <w:rsid w:val="00C10674"/>
    <w:rsid w:val="00C1133F"/>
    <w:rsid w:val="00C1152B"/>
    <w:rsid w:val="00C11B4C"/>
    <w:rsid w:val="00C11BDA"/>
    <w:rsid w:val="00C11F01"/>
    <w:rsid w:val="00C1263C"/>
    <w:rsid w:val="00C12AA7"/>
    <w:rsid w:val="00C12DBB"/>
    <w:rsid w:val="00C12EB9"/>
    <w:rsid w:val="00C1336D"/>
    <w:rsid w:val="00C13AD5"/>
    <w:rsid w:val="00C13FF2"/>
    <w:rsid w:val="00C140DD"/>
    <w:rsid w:val="00C1477D"/>
    <w:rsid w:val="00C156D0"/>
    <w:rsid w:val="00C15F76"/>
    <w:rsid w:val="00C1626F"/>
    <w:rsid w:val="00C165D2"/>
    <w:rsid w:val="00C1662B"/>
    <w:rsid w:val="00C16A19"/>
    <w:rsid w:val="00C16E4E"/>
    <w:rsid w:val="00C1719B"/>
    <w:rsid w:val="00C1763F"/>
    <w:rsid w:val="00C17FEA"/>
    <w:rsid w:val="00C20B48"/>
    <w:rsid w:val="00C2113A"/>
    <w:rsid w:val="00C2117D"/>
    <w:rsid w:val="00C21994"/>
    <w:rsid w:val="00C21CA3"/>
    <w:rsid w:val="00C22B6C"/>
    <w:rsid w:val="00C22CA6"/>
    <w:rsid w:val="00C236F2"/>
    <w:rsid w:val="00C237AE"/>
    <w:rsid w:val="00C23C9D"/>
    <w:rsid w:val="00C23DB4"/>
    <w:rsid w:val="00C241D6"/>
    <w:rsid w:val="00C2590D"/>
    <w:rsid w:val="00C25A70"/>
    <w:rsid w:val="00C25C95"/>
    <w:rsid w:val="00C2623C"/>
    <w:rsid w:val="00C266B5"/>
    <w:rsid w:val="00C26724"/>
    <w:rsid w:val="00C26E14"/>
    <w:rsid w:val="00C27D18"/>
    <w:rsid w:val="00C27E8A"/>
    <w:rsid w:val="00C302F2"/>
    <w:rsid w:val="00C30482"/>
    <w:rsid w:val="00C307BB"/>
    <w:rsid w:val="00C3094D"/>
    <w:rsid w:val="00C30B08"/>
    <w:rsid w:val="00C30C61"/>
    <w:rsid w:val="00C317BC"/>
    <w:rsid w:val="00C31ABD"/>
    <w:rsid w:val="00C31B44"/>
    <w:rsid w:val="00C325F0"/>
    <w:rsid w:val="00C32710"/>
    <w:rsid w:val="00C32AAE"/>
    <w:rsid w:val="00C32ADF"/>
    <w:rsid w:val="00C32E9C"/>
    <w:rsid w:val="00C33BC0"/>
    <w:rsid w:val="00C34105"/>
    <w:rsid w:val="00C3436B"/>
    <w:rsid w:val="00C34378"/>
    <w:rsid w:val="00C3537D"/>
    <w:rsid w:val="00C35693"/>
    <w:rsid w:val="00C3666C"/>
    <w:rsid w:val="00C367D7"/>
    <w:rsid w:val="00C368E7"/>
    <w:rsid w:val="00C36929"/>
    <w:rsid w:val="00C36C5E"/>
    <w:rsid w:val="00C37431"/>
    <w:rsid w:val="00C40022"/>
    <w:rsid w:val="00C4011D"/>
    <w:rsid w:val="00C4036C"/>
    <w:rsid w:val="00C40E84"/>
    <w:rsid w:val="00C40F25"/>
    <w:rsid w:val="00C4103F"/>
    <w:rsid w:val="00C410EA"/>
    <w:rsid w:val="00C4121B"/>
    <w:rsid w:val="00C43245"/>
    <w:rsid w:val="00C433DB"/>
    <w:rsid w:val="00C4353B"/>
    <w:rsid w:val="00C43ABE"/>
    <w:rsid w:val="00C43B5E"/>
    <w:rsid w:val="00C43F76"/>
    <w:rsid w:val="00C4553E"/>
    <w:rsid w:val="00C457D5"/>
    <w:rsid w:val="00C45D1A"/>
    <w:rsid w:val="00C46277"/>
    <w:rsid w:val="00C46376"/>
    <w:rsid w:val="00C46955"/>
    <w:rsid w:val="00C46AB0"/>
    <w:rsid w:val="00C46D43"/>
    <w:rsid w:val="00C46EED"/>
    <w:rsid w:val="00C47968"/>
    <w:rsid w:val="00C47E53"/>
    <w:rsid w:val="00C47ECC"/>
    <w:rsid w:val="00C50252"/>
    <w:rsid w:val="00C50569"/>
    <w:rsid w:val="00C50A0E"/>
    <w:rsid w:val="00C519D2"/>
    <w:rsid w:val="00C51EE5"/>
    <w:rsid w:val="00C5348F"/>
    <w:rsid w:val="00C53A48"/>
    <w:rsid w:val="00C53B8B"/>
    <w:rsid w:val="00C53C8B"/>
    <w:rsid w:val="00C54053"/>
    <w:rsid w:val="00C54161"/>
    <w:rsid w:val="00C548AD"/>
    <w:rsid w:val="00C5490E"/>
    <w:rsid w:val="00C54933"/>
    <w:rsid w:val="00C54D10"/>
    <w:rsid w:val="00C550C8"/>
    <w:rsid w:val="00C56233"/>
    <w:rsid w:val="00C5637D"/>
    <w:rsid w:val="00C568C3"/>
    <w:rsid w:val="00C56FF1"/>
    <w:rsid w:val="00C57063"/>
    <w:rsid w:val="00C57079"/>
    <w:rsid w:val="00C5789B"/>
    <w:rsid w:val="00C57CD3"/>
    <w:rsid w:val="00C609BB"/>
    <w:rsid w:val="00C60F63"/>
    <w:rsid w:val="00C61067"/>
    <w:rsid w:val="00C61384"/>
    <w:rsid w:val="00C615A7"/>
    <w:rsid w:val="00C62BAE"/>
    <w:rsid w:val="00C6365F"/>
    <w:rsid w:val="00C63D4A"/>
    <w:rsid w:val="00C64104"/>
    <w:rsid w:val="00C64EF4"/>
    <w:rsid w:val="00C653A8"/>
    <w:rsid w:val="00C65BD8"/>
    <w:rsid w:val="00C66407"/>
    <w:rsid w:val="00C66C5E"/>
    <w:rsid w:val="00C66D9A"/>
    <w:rsid w:val="00C66FC1"/>
    <w:rsid w:val="00C70735"/>
    <w:rsid w:val="00C71231"/>
    <w:rsid w:val="00C72066"/>
    <w:rsid w:val="00C721AC"/>
    <w:rsid w:val="00C7291E"/>
    <w:rsid w:val="00C72CC6"/>
    <w:rsid w:val="00C73426"/>
    <w:rsid w:val="00C73FEB"/>
    <w:rsid w:val="00C74A45"/>
    <w:rsid w:val="00C74C1C"/>
    <w:rsid w:val="00C74C7B"/>
    <w:rsid w:val="00C75119"/>
    <w:rsid w:val="00C7594B"/>
    <w:rsid w:val="00C759B4"/>
    <w:rsid w:val="00C76621"/>
    <w:rsid w:val="00C766DA"/>
    <w:rsid w:val="00C767CE"/>
    <w:rsid w:val="00C76A79"/>
    <w:rsid w:val="00C778D7"/>
    <w:rsid w:val="00C7794B"/>
    <w:rsid w:val="00C77AA0"/>
    <w:rsid w:val="00C80449"/>
    <w:rsid w:val="00C804A0"/>
    <w:rsid w:val="00C80E81"/>
    <w:rsid w:val="00C81909"/>
    <w:rsid w:val="00C819FB"/>
    <w:rsid w:val="00C81B5A"/>
    <w:rsid w:val="00C81C97"/>
    <w:rsid w:val="00C820EB"/>
    <w:rsid w:val="00C82294"/>
    <w:rsid w:val="00C82531"/>
    <w:rsid w:val="00C83571"/>
    <w:rsid w:val="00C83BB2"/>
    <w:rsid w:val="00C83E7F"/>
    <w:rsid w:val="00C842B8"/>
    <w:rsid w:val="00C846A6"/>
    <w:rsid w:val="00C8498A"/>
    <w:rsid w:val="00C84F97"/>
    <w:rsid w:val="00C8534A"/>
    <w:rsid w:val="00C85C27"/>
    <w:rsid w:val="00C85FBC"/>
    <w:rsid w:val="00C86472"/>
    <w:rsid w:val="00C8713F"/>
    <w:rsid w:val="00C87232"/>
    <w:rsid w:val="00C87A28"/>
    <w:rsid w:val="00C903BC"/>
    <w:rsid w:val="00C90B18"/>
    <w:rsid w:val="00C9189C"/>
    <w:rsid w:val="00C918C4"/>
    <w:rsid w:val="00C92728"/>
    <w:rsid w:val="00C92A63"/>
    <w:rsid w:val="00C92A8D"/>
    <w:rsid w:val="00C936DE"/>
    <w:rsid w:val="00C9405E"/>
    <w:rsid w:val="00C94451"/>
    <w:rsid w:val="00C947CA"/>
    <w:rsid w:val="00C94D9E"/>
    <w:rsid w:val="00C9506F"/>
    <w:rsid w:val="00C96530"/>
    <w:rsid w:val="00C97FD9"/>
    <w:rsid w:val="00CA01E3"/>
    <w:rsid w:val="00CA0329"/>
    <w:rsid w:val="00CA0509"/>
    <w:rsid w:val="00CA0739"/>
    <w:rsid w:val="00CA089B"/>
    <w:rsid w:val="00CA18C2"/>
    <w:rsid w:val="00CA29AA"/>
    <w:rsid w:val="00CA2F95"/>
    <w:rsid w:val="00CA38C6"/>
    <w:rsid w:val="00CA3F96"/>
    <w:rsid w:val="00CA49B4"/>
    <w:rsid w:val="00CA561D"/>
    <w:rsid w:val="00CB0122"/>
    <w:rsid w:val="00CB0411"/>
    <w:rsid w:val="00CB05A8"/>
    <w:rsid w:val="00CB05D6"/>
    <w:rsid w:val="00CB0FEC"/>
    <w:rsid w:val="00CB110D"/>
    <w:rsid w:val="00CB1476"/>
    <w:rsid w:val="00CB18DB"/>
    <w:rsid w:val="00CB29E9"/>
    <w:rsid w:val="00CB30B5"/>
    <w:rsid w:val="00CB34C3"/>
    <w:rsid w:val="00CB3B70"/>
    <w:rsid w:val="00CB402E"/>
    <w:rsid w:val="00CB407E"/>
    <w:rsid w:val="00CB4600"/>
    <w:rsid w:val="00CB48D0"/>
    <w:rsid w:val="00CB4A86"/>
    <w:rsid w:val="00CB4D11"/>
    <w:rsid w:val="00CB535C"/>
    <w:rsid w:val="00CB55E2"/>
    <w:rsid w:val="00CB5780"/>
    <w:rsid w:val="00CB6A95"/>
    <w:rsid w:val="00CB6FD5"/>
    <w:rsid w:val="00CB7185"/>
    <w:rsid w:val="00CC0225"/>
    <w:rsid w:val="00CC056C"/>
    <w:rsid w:val="00CC0761"/>
    <w:rsid w:val="00CC0793"/>
    <w:rsid w:val="00CC11C5"/>
    <w:rsid w:val="00CC12AD"/>
    <w:rsid w:val="00CC1B89"/>
    <w:rsid w:val="00CC1B9B"/>
    <w:rsid w:val="00CC1DA7"/>
    <w:rsid w:val="00CC1DBB"/>
    <w:rsid w:val="00CC2241"/>
    <w:rsid w:val="00CC443A"/>
    <w:rsid w:val="00CC54E4"/>
    <w:rsid w:val="00CC5D56"/>
    <w:rsid w:val="00CC606F"/>
    <w:rsid w:val="00CD05C6"/>
    <w:rsid w:val="00CD09DB"/>
    <w:rsid w:val="00CD09F7"/>
    <w:rsid w:val="00CD0A96"/>
    <w:rsid w:val="00CD0D1E"/>
    <w:rsid w:val="00CD0E8F"/>
    <w:rsid w:val="00CD102A"/>
    <w:rsid w:val="00CD12FA"/>
    <w:rsid w:val="00CD1747"/>
    <w:rsid w:val="00CD1C0E"/>
    <w:rsid w:val="00CD2320"/>
    <w:rsid w:val="00CD2542"/>
    <w:rsid w:val="00CD346E"/>
    <w:rsid w:val="00CD3908"/>
    <w:rsid w:val="00CD3B0A"/>
    <w:rsid w:val="00CD3B17"/>
    <w:rsid w:val="00CD494E"/>
    <w:rsid w:val="00CD4BB2"/>
    <w:rsid w:val="00CD4FEE"/>
    <w:rsid w:val="00CD53BC"/>
    <w:rsid w:val="00CD53EE"/>
    <w:rsid w:val="00CD5567"/>
    <w:rsid w:val="00CD55F6"/>
    <w:rsid w:val="00CD5806"/>
    <w:rsid w:val="00CD6A07"/>
    <w:rsid w:val="00CD768C"/>
    <w:rsid w:val="00CD78EB"/>
    <w:rsid w:val="00CD7BEB"/>
    <w:rsid w:val="00CD7C75"/>
    <w:rsid w:val="00CE0475"/>
    <w:rsid w:val="00CE04AE"/>
    <w:rsid w:val="00CE0771"/>
    <w:rsid w:val="00CE0E8F"/>
    <w:rsid w:val="00CE115D"/>
    <w:rsid w:val="00CE1231"/>
    <w:rsid w:val="00CE149A"/>
    <w:rsid w:val="00CE1ED4"/>
    <w:rsid w:val="00CE4203"/>
    <w:rsid w:val="00CE5776"/>
    <w:rsid w:val="00CE589F"/>
    <w:rsid w:val="00CE5BA1"/>
    <w:rsid w:val="00CE653A"/>
    <w:rsid w:val="00CE6A15"/>
    <w:rsid w:val="00CE6DD9"/>
    <w:rsid w:val="00CE7039"/>
    <w:rsid w:val="00CE7423"/>
    <w:rsid w:val="00CF0254"/>
    <w:rsid w:val="00CF03CD"/>
    <w:rsid w:val="00CF04D7"/>
    <w:rsid w:val="00CF076D"/>
    <w:rsid w:val="00CF0D6A"/>
    <w:rsid w:val="00CF26B4"/>
    <w:rsid w:val="00CF4252"/>
    <w:rsid w:val="00CF44A8"/>
    <w:rsid w:val="00CF4F7C"/>
    <w:rsid w:val="00CF504B"/>
    <w:rsid w:val="00CF518F"/>
    <w:rsid w:val="00CF557E"/>
    <w:rsid w:val="00CF6A1C"/>
    <w:rsid w:val="00D00260"/>
    <w:rsid w:val="00D00644"/>
    <w:rsid w:val="00D00D49"/>
    <w:rsid w:val="00D014BC"/>
    <w:rsid w:val="00D02033"/>
    <w:rsid w:val="00D020CA"/>
    <w:rsid w:val="00D0210B"/>
    <w:rsid w:val="00D021CA"/>
    <w:rsid w:val="00D0293C"/>
    <w:rsid w:val="00D03390"/>
    <w:rsid w:val="00D0478F"/>
    <w:rsid w:val="00D047D7"/>
    <w:rsid w:val="00D05429"/>
    <w:rsid w:val="00D0593A"/>
    <w:rsid w:val="00D06256"/>
    <w:rsid w:val="00D06AFA"/>
    <w:rsid w:val="00D070D3"/>
    <w:rsid w:val="00D073CC"/>
    <w:rsid w:val="00D076FC"/>
    <w:rsid w:val="00D07AD6"/>
    <w:rsid w:val="00D07B4C"/>
    <w:rsid w:val="00D07B57"/>
    <w:rsid w:val="00D10240"/>
    <w:rsid w:val="00D1051B"/>
    <w:rsid w:val="00D106DF"/>
    <w:rsid w:val="00D10F58"/>
    <w:rsid w:val="00D114E3"/>
    <w:rsid w:val="00D118A5"/>
    <w:rsid w:val="00D11A0F"/>
    <w:rsid w:val="00D11C74"/>
    <w:rsid w:val="00D11D51"/>
    <w:rsid w:val="00D12BCC"/>
    <w:rsid w:val="00D12CB2"/>
    <w:rsid w:val="00D13312"/>
    <w:rsid w:val="00D140EA"/>
    <w:rsid w:val="00D143C6"/>
    <w:rsid w:val="00D14B10"/>
    <w:rsid w:val="00D15998"/>
    <w:rsid w:val="00D15BF5"/>
    <w:rsid w:val="00D15F11"/>
    <w:rsid w:val="00D164E5"/>
    <w:rsid w:val="00D1667E"/>
    <w:rsid w:val="00D16EB2"/>
    <w:rsid w:val="00D208F7"/>
    <w:rsid w:val="00D21708"/>
    <w:rsid w:val="00D21E76"/>
    <w:rsid w:val="00D220B6"/>
    <w:rsid w:val="00D225A8"/>
    <w:rsid w:val="00D234A4"/>
    <w:rsid w:val="00D23534"/>
    <w:rsid w:val="00D23546"/>
    <w:rsid w:val="00D237E4"/>
    <w:rsid w:val="00D23938"/>
    <w:rsid w:val="00D23E15"/>
    <w:rsid w:val="00D23F41"/>
    <w:rsid w:val="00D24765"/>
    <w:rsid w:val="00D248F0"/>
    <w:rsid w:val="00D24A55"/>
    <w:rsid w:val="00D24B10"/>
    <w:rsid w:val="00D24D61"/>
    <w:rsid w:val="00D250AD"/>
    <w:rsid w:val="00D25296"/>
    <w:rsid w:val="00D2538E"/>
    <w:rsid w:val="00D2558C"/>
    <w:rsid w:val="00D25A90"/>
    <w:rsid w:val="00D25B04"/>
    <w:rsid w:val="00D26994"/>
    <w:rsid w:val="00D26D00"/>
    <w:rsid w:val="00D27110"/>
    <w:rsid w:val="00D27142"/>
    <w:rsid w:val="00D27D87"/>
    <w:rsid w:val="00D27DF7"/>
    <w:rsid w:val="00D300D7"/>
    <w:rsid w:val="00D3070D"/>
    <w:rsid w:val="00D30CBF"/>
    <w:rsid w:val="00D30D85"/>
    <w:rsid w:val="00D3147C"/>
    <w:rsid w:val="00D32964"/>
    <w:rsid w:val="00D32F5D"/>
    <w:rsid w:val="00D33A5B"/>
    <w:rsid w:val="00D33E24"/>
    <w:rsid w:val="00D34107"/>
    <w:rsid w:val="00D34231"/>
    <w:rsid w:val="00D34F91"/>
    <w:rsid w:val="00D35359"/>
    <w:rsid w:val="00D35534"/>
    <w:rsid w:val="00D357DC"/>
    <w:rsid w:val="00D357F1"/>
    <w:rsid w:val="00D35DAF"/>
    <w:rsid w:val="00D36375"/>
    <w:rsid w:val="00D36886"/>
    <w:rsid w:val="00D3698D"/>
    <w:rsid w:val="00D41140"/>
    <w:rsid w:val="00D412B0"/>
    <w:rsid w:val="00D41887"/>
    <w:rsid w:val="00D4210C"/>
    <w:rsid w:val="00D4257C"/>
    <w:rsid w:val="00D42A3A"/>
    <w:rsid w:val="00D42A45"/>
    <w:rsid w:val="00D43B07"/>
    <w:rsid w:val="00D44004"/>
    <w:rsid w:val="00D445E2"/>
    <w:rsid w:val="00D453CF"/>
    <w:rsid w:val="00D45F2A"/>
    <w:rsid w:val="00D4667A"/>
    <w:rsid w:val="00D46CBC"/>
    <w:rsid w:val="00D4701C"/>
    <w:rsid w:val="00D470CA"/>
    <w:rsid w:val="00D476E1"/>
    <w:rsid w:val="00D47BDE"/>
    <w:rsid w:val="00D47FD8"/>
    <w:rsid w:val="00D502FE"/>
    <w:rsid w:val="00D506B0"/>
    <w:rsid w:val="00D507AE"/>
    <w:rsid w:val="00D50AC5"/>
    <w:rsid w:val="00D512E8"/>
    <w:rsid w:val="00D51E30"/>
    <w:rsid w:val="00D5224D"/>
    <w:rsid w:val="00D5238F"/>
    <w:rsid w:val="00D5261B"/>
    <w:rsid w:val="00D52861"/>
    <w:rsid w:val="00D53562"/>
    <w:rsid w:val="00D54501"/>
    <w:rsid w:val="00D549B2"/>
    <w:rsid w:val="00D551EA"/>
    <w:rsid w:val="00D55787"/>
    <w:rsid w:val="00D55F0D"/>
    <w:rsid w:val="00D55F60"/>
    <w:rsid w:val="00D566A3"/>
    <w:rsid w:val="00D56722"/>
    <w:rsid w:val="00D57A12"/>
    <w:rsid w:val="00D609B6"/>
    <w:rsid w:val="00D6134B"/>
    <w:rsid w:val="00D6166C"/>
    <w:rsid w:val="00D61EB2"/>
    <w:rsid w:val="00D62955"/>
    <w:rsid w:val="00D62967"/>
    <w:rsid w:val="00D63178"/>
    <w:rsid w:val="00D6365D"/>
    <w:rsid w:val="00D63931"/>
    <w:rsid w:val="00D63B97"/>
    <w:rsid w:val="00D641A1"/>
    <w:rsid w:val="00D64A7B"/>
    <w:rsid w:val="00D6559F"/>
    <w:rsid w:val="00D6619F"/>
    <w:rsid w:val="00D6635D"/>
    <w:rsid w:val="00D6694E"/>
    <w:rsid w:val="00D671C6"/>
    <w:rsid w:val="00D70127"/>
    <w:rsid w:val="00D70690"/>
    <w:rsid w:val="00D707EA"/>
    <w:rsid w:val="00D709E7"/>
    <w:rsid w:val="00D710B9"/>
    <w:rsid w:val="00D71272"/>
    <w:rsid w:val="00D71474"/>
    <w:rsid w:val="00D72165"/>
    <w:rsid w:val="00D72A9A"/>
    <w:rsid w:val="00D73046"/>
    <w:rsid w:val="00D735D2"/>
    <w:rsid w:val="00D7378A"/>
    <w:rsid w:val="00D737AD"/>
    <w:rsid w:val="00D738ED"/>
    <w:rsid w:val="00D747C0"/>
    <w:rsid w:val="00D75605"/>
    <w:rsid w:val="00D76E4C"/>
    <w:rsid w:val="00D77064"/>
    <w:rsid w:val="00D777F9"/>
    <w:rsid w:val="00D813A6"/>
    <w:rsid w:val="00D816E6"/>
    <w:rsid w:val="00D81825"/>
    <w:rsid w:val="00D8238E"/>
    <w:rsid w:val="00D83166"/>
    <w:rsid w:val="00D83510"/>
    <w:rsid w:val="00D846A5"/>
    <w:rsid w:val="00D84B2C"/>
    <w:rsid w:val="00D851A5"/>
    <w:rsid w:val="00D85448"/>
    <w:rsid w:val="00D85795"/>
    <w:rsid w:val="00D859E1"/>
    <w:rsid w:val="00D85D2B"/>
    <w:rsid w:val="00D868F2"/>
    <w:rsid w:val="00D870C0"/>
    <w:rsid w:val="00D87A97"/>
    <w:rsid w:val="00D903B4"/>
    <w:rsid w:val="00D90CF8"/>
    <w:rsid w:val="00D90DD0"/>
    <w:rsid w:val="00D911D6"/>
    <w:rsid w:val="00D914D1"/>
    <w:rsid w:val="00D91724"/>
    <w:rsid w:val="00D91841"/>
    <w:rsid w:val="00D918C6"/>
    <w:rsid w:val="00D91994"/>
    <w:rsid w:val="00D92326"/>
    <w:rsid w:val="00D931F2"/>
    <w:rsid w:val="00D935D6"/>
    <w:rsid w:val="00D93CF8"/>
    <w:rsid w:val="00D93F5C"/>
    <w:rsid w:val="00D94196"/>
    <w:rsid w:val="00D94724"/>
    <w:rsid w:val="00D948ED"/>
    <w:rsid w:val="00D9537F"/>
    <w:rsid w:val="00D95681"/>
    <w:rsid w:val="00D95737"/>
    <w:rsid w:val="00D95B94"/>
    <w:rsid w:val="00D96100"/>
    <w:rsid w:val="00D96A3B"/>
    <w:rsid w:val="00D96C7F"/>
    <w:rsid w:val="00D971BD"/>
    <w:rsid w:val="00D972B0"/>
    <w:rsid w:val="00DA0455"/>
    <w:rsid w:val="00DA11A1"/>
    <w:rsid w:val="00DA11D1"/>
    <w:rsid w:val="00DA18DA"/>
    <w:rsid w:val="00DA1AE9"/>
    <w:rsid w:val="00DA3265"/>
    <w:rsid w:val="00DA3F7F"/>
    <w:rsid w:val="00DA5792"/>
    <w:rsid w:val="00DA5962"/>
    <w:rsid w:val="00DA5A6F"/>
    <w:rsid w:val="00DA638E"/>
    <w:rsid w:val="00DA639D"/>
    <w:rsid w:val="00DA6C50"/>
    <w:rsid w:val="00DB040E"/>
    <w:rsid w:val="00DB0A0B"/>
    <w:rsid w:val="00DB1C61"/>
    <w:rsid w:val="00DB228E"/>
    <w:rsid w:val="00DB25E1"/>
    <w:rsid w:val="00DB275E"/>
    <w:rsid w:val="00DB2C89"/>
    <w:rsid w:val="00DB2DDE"/>
    <w:rsid w:val="00DB2ED0"/>
    <w:rsid w:val="00DB3094"/>
    <w:rsid w:val="00DB3620"/>
    <w:rsid w:val="00DB4059"/>
    <w:rsid w:val="00DB4340"/>
    <w:rsid w:val="00DB4A36"/>
    <w:rsid w:val="00DB5B34"/>
    <w:rsid w:val="00DB5C15"/>
    <w:rsid w:val="00DB6144"/>
    <w:rsid w:val="00DB66A9"/>
    <w:rsid w:val="00DB6AF5"/>
    <w:rsid w:val="00DB737F"/>
    <w:rsid w:val="00DB7ED5"/>
    <w:rsid w:val="00DC0E5B"/>
    <w:rsid w:val="00DC2261"/>
    <w:rsid w:val="00DC228D"/>
    <w:rsid w:val="00DC260E"/>
    <w:rsid w:val="00DC2938"/>
    <w:rsid w:val="00DC2A87"/>
    <w:rsid w:val="00DC2E6F"/>
    <w:rsid w:val="00DC3527"/>
    <w:rsid w:val="00DC3CED"/>
    <w:rsid w:val="00DC4712"/>
    <w:rsid w:val="00DC5096"/>
    <w:rsid w:val="00DC5550"/>
    <w:rsid w:val="00DC5702"/>
    <w:rsid w:val="00DC5C33"/>
    <w:rsid w:val="00DC5DB3"/>
    <w:rsid w:val="00DC5E63"/>
    <w:rsid w:val="00DC5E72"/>
    <w:rsid w:val="00DC5FC0"/>
    <w:rsid w:val="00DC7060"/>
    <w:rsid w:val="00DC7E0D"/>
    <w:rsid w:val="00DD01C2"/>
    <w:rsid w:val="00DD0B41"/>
    <w:rsid w:val="00DD0E89"/>
    <w:rsid w:val="00DD1078"/>
    <w:rsid w:val="00DD130E"/>
    <w:rsid w:val="00DD18DD"/>
    <w:rsid w:val="00DD2B32"/>
    <w:rsid w:val="00DD2CBA"/>
    <w:rsid w:val="00DD35D5"/>
    <w:rsid w:val="00DD38C5"/>
    <w:rsid w:val="00DD396D"/>
    <w:rsid w:val="00DD4AC2"/>
    <w:rsid w:val="00DD50EE"/>
    <w:rsid w:val="00DD5575"/>
    <w:rsid w:val="00DD6034"/>
    <w:rsid w:val="00DD679B"/>
    <w:rsid w:val="00DD6EB4"/>
    <w:rsid w:val="00DD729D"/>
    <w:rsid w:val="00DD72F7"/>
    <w:rsid w:val="00DD7418"/>
    <w:rsid w:val="00DD7E5C"/>
    <w:rsid w:val="00DE03F7"/>
    <w:rsid w:val="00DE17D2"/>
    <w:rsid w:val="00DE1947"/>
    <w:rsid w:val="00DE2212"/>
    <w:rsid w:val="00DE23F1"/>
    <w:rsid w:val="00DE2436"/>
    <w:rsid w:val="00DE26E8"/>
    <w:rsid w:val="00DE2EB8"/>
    <w:rsid w:val="00DE343B"/>
    <w:rsid w:val="00DE356E"/>
    <w:rsid w:val="00DE5035"/>
    <w:rsid w:val="00DE5639"/>
    <w:rsid w:val="00DE6509"/>
    <w:rsid w:val="00DE697C"/>
    <w:rsid w:val="00DE6B9C"/>
    <w:rsid w:val="00DE773B"/>
    <w:rsid w:val="00DE776F"/>
    <w:rsid w:val="00DE7A2F"/>
    <w:rsid w:val="00DE7B59"/>
    <w:rsid w:val="00DE7DBC"/>
    <w:rsid w:val="00DE7FB7"/>
    <w:rsid w:val="00DF020C"/>
    <w:rsid w:val="00DF02D5"/>
    <w:rsid w:val="00DF08E0"/>
    <w:rsid w:val="00DF09F0"/>
    <w:rsid w:val="00DF14F0"/>
    <w:rsid w:val="00DF2302"/>
    <w:rsid w:val="00DF2710"/>
    <w:rsid w:val="00DF29D5"/>
    <w:rsid w:val="00DF2E32"/>
    <w:rsid w:val="00DF3342"/>
    <w:rsid w:val="00DF3492"/>
    <w:rsid w:val="00DF3CE3"/>
    <w:rsid w:val="00DF40A9"/>
    <w:rsid w:val="00DF40F8"/>
    <w:rsid w:val="00DF46AB"/>
    <w:rsid w:val="00DF52B9"/>
    <w:rsid w:val="00DF5337"/>
    <w:rsid w:val="00DF55EF"/>
    <w:rsid w:val="00DF6890"/>
    <w:rsid w:val="00DF7319"/>
    <w:rsid w:val="00DF7441"/>
    <w:rsid w:val="00E000FA"/>
    <w:rsid w:val="00E004E2"/>
    <w:rsid w:val="00E009ED"/>
    <w:rsid w:val="00E01191"/>
    <w:rsid w:val="00E0122F"/>
    <w:rsid w:val="00E017B6"/>
    <w:rsid w:val="00E01996"/>
    <w:rsid w:val="00E01DAC"/>
    <w:rsid w:val="00E0206E"/>
    <w:rsid w:val="00E02868"/>
    <w:rsid w:val="00E02907"/>
    <w:rsid w:val="00E03421"/>
    <w:rsid w:val="00E03B3B"/>
    <w:rsid w:val="00E03BCF"/>
    <w:rsid w:val="00E041C1"/>
    <w:rsid w:val="00E050DA"/>
    <w:rsid w:val="00E0593C"/>
    <w:rsid w:val="00E05BCF"/>
    <w:rsid w:val="00E05FAB"/>
    <w:rsid w:val="00E06093"/>
    <w:rsid w:val="00E0628F"/>
    <w:rsid w:val="00E066EA"/>
    <w:rsid w:val="00E0674E"/>
    <w:rsid w:val="00E06D35"/>
    <w:rsid w:val="00E06D7A"/>
    <w:rsid w:val="00E06E05"/>
    <w:rsid w:val="00E071B3"/>
    <w:rsid w:val="00E078CC"/>
    <w:rsid w:val="00E07C15"/>
    <w:rsid w:val="00E10BAE"/>
    <w:rsid w:val="00E11CF8"/>
    <w:rsid w:val="00E1265E"/>
    <w:rsid w:val="00E12D49"/>
    <w:rsid w:val="00E136E2"/>
    <w:rsid w:val="00E138B8"/>
    <w:rsid w:val="00E14A49"/>
    <w:rsid w:val="00E15863"/>
    <w:rsid w:val="00E15C0A"/>
    <w:rsid w:val="00E15ECA"/>
    <w:rsid w:val="00E1604C"/>
    <w:rsid w:val="00E1696F"/>
    <w:rsid w:val="00E16A69"/>
    <w:rsid w:val="00E1729D"/>
    <w:rsid w:val="00E179EA"/>
    <w:rsid w:val="00E17A14"/>
    <w:rsid w:val="00E17D89"/>
    <w:rsid w:val="00E20291"/>
    <w:rsid w:val="00E20562"/>
    <w:rsid w:val="00E20A27"/>
    <w:rsid w:val="00E21D5B"/>
    <w:rsid w:val="00E22B29"/>
    <w:rsid w:val="00E237B0"/>
    <w:rsid w:val="00E23A92"/>
    <w:rsid w:val="00E23F0B"/>
    <w:rsid w:val="00E24376"/>
    <w:rsid w:val="00E248A8"/>
    <w:rsid w:val="00E24AAB"/>
    <w:rsid w:val="00E24EAC"/>
    <w:rsid w:val="00E24F22"/>
    <w:rsid w:val="00E25650"/>
    <w:rsid w:val="00E25F5D"/>
    <w:rsid w:val="00E262F3"/>
    <w:rsid w:val="00E27406"/>
    <w:rsid w:val="00E278B3"/>
    <w:rsid w:val="00E316A3"/>
    <w:rsid w:val="00E31715"/>
    <w:rsid w:val="00E32BBE"/>
    <w:rsid w:val="00E34991"/>
    <w:rsid w:val="00E349B9"/>
    <w:rsid w:val="00E35A54"/>
    <w:rsid w:val="00E35CE1"/>
    <w:rsid w:val="00E367D1"/>
    <w:rsid w:val="00E36EC1"/>
    <w:rsid w:val="00E4037C"/>
    <w:rsid w:val="00E4069E"/>
    <w:rsid w:val="00E40E09"/>
    <w:rsid w:val="00E410F0"/>
    <w:rsid w:val="00E41B30"/>
    <w:rsid w:val="00E42200"/>
    <w:rsid w:val="00E42271"/>
    <w:rsid w:val="00E4236E"/>
    <w:rsid w:val="00E42F2E"/>
    <w:rsid w:val="00E436BB"/>
    <w:rsid w:val="00E437FC"/>
    <w:rsid w:val="00E43D74"/>
    <w:rsid w:val="00E44244"/>
    <w:rsid w:val="00E449E0"/>
    <w:rsid w:val="00E44AFD"/>
    <w:rsid w:val="00E44D3D"/>
    <w:rsid w:val="00E4520D"/>
    <w:rsid w:val="00E4555F"/>
    <w:rsid w:val="00E4602F"/>
    <w:rsid w:val="00E46329"/>
    <w:rsid w:val="00E46F14"/>
    <w:rsid w:val="00E4725A"/>
    <w:rsid w:val="00E472A6"/>
    <w:rsid w:val="00E474D6"/>
    <w:rsid w:val="00E47A10"/>
    <w:rsid w:val="00E50611"/>
    <w:rsid w:val="00E510D2"/>
    <w:rsid w:val="00E51A40"/>
    <w:rsid w:val="00E51BBD"/>
    <w:rsid w:val="00E51CCA"/>
    <w:rsid w:val="00E52908"/>
    <w:rsid w:val="00E5291C"/>
    <w:rsid w:val="00E52BFB"/>
    <w:rsid w:val="00E53A15"/>
    <w:rsid w:val="00E542BD"/>
    <w:rsid w:val="00E544B7"/>
    <w:rsid w:val="00E54567"/>
    <w:rsid w:val="00E545B5"/>
    <w:rsid w:val="00E553F8"/>
    <w:rsid w:val="00E55A55"/>
    <w:rsid w:val="00E55FF9"/>
    <w:rsid w:val="00E56119"/>
    <w:rsid w:val="00E5636A"/>
    <w:rsid w:val="00E57274"/>
    <w:rsid w:val="00E57880"/>
    <w:rsid w:val="00E57AC8"/>
    <w:rsid w:val="00E60D6F"/>
    <w:rsid w:val="00E61BC0"/>
    <w:rsid w:val="00E61CF7"/>
    <w:rsid w:val="00E6244F"/>
    <w:rsid w:val="00E6250C"/>
    <w:rsid w:val="00E62630"/>
    <w:rsid w:val="00E62D45"/>
    <w:rsid w:val="00E632FE"/>
    <w:rsid w:val="00E647F0"/>
    <w:rsid w:val="00E64DFC"/>
    <w:rsid w:val="00E654FF"/>
    <w:rsid w:val="00E662DD"/>
    <w:rsid w:val="00E665A1"/>
    <w:rsid w:val="00E677E2"/>
    <w:rsid w:val="00E67C97"/>
    <w:rsid w:val="00E67DEC"/>
    <w:rsid w:val="00E70052"/>
    <w:rsid w:val="00E708A4"/>
    <w:rsid w:val="00E70DFA"/>
    <w:rsid w:val="00E71ADA"/>
    <w:rsid w:val="00E725AA"/>
    <w:rsid w:val="00E72DC2"/>
    <w:rsid w:val="00E737E9"/>
    <w:rsid w:val="00E73AC2"/>
    <w:rsid w:val="00E75000"/>
    <w:rsid w:val="00E752EE"/>
    <w:rsid w:val="00E757D0"/>
    <w:rsid w:val="00E769BA"/>
    <w:rsid w:val="00E76B3F"/>
    <w:rsid w:val="00E77EE2"/>
    <w:rsid w:val="00E8034E"/>
    <w:rsid w:val="00E804E8"/>
    <w:rsid w:val="00E8082F"/>
    <w:rsid w:val="00E80BC8"/>
    <w:rsid w:val="00E823CA"/>
    <w:rsid w:val="00E8274D"/>
    <w:rsid w:val="00E82872"/>
    <w:rsid w:val="00E82914"/>
    <w:rsid w:val="00E82D58"/>
    <w:rsid w:val="00E83310"/>
    <w:rsid w:val="00E833F3"/>
    <w:rsid w:val="00E83AFD"/>
    <w:rsid w:val="00E83F96"/>
    <w:rsid w:val="00E841E8"/>
    <w:rsid w:val="00E84B07"/>
    <w:rsid w:val="00E84B6D"/>
    <w:rsid w:val="00E8654C"/>
    <w:rsid w:val="00E86749"/>
    <w:rsid w:val="00E87241"/>
    <w:rsid w:val="00E878AE"/>
    <w:rsid w:val="00E9092B"/>
    <w:rsid w:val="00E90CC2"/>
    <w:rsid w:val="00E914A4"/>
    <w:rsid w:val="00E91954"/>
    <w:rsid w:val="00E925CB"/>
    <w:rsid w:val="00E92BD7"/>
    <w:rsid w:val="00E933F0"/>
    <w:rsid w:val="00E938D5"/>
    <w:rsid w:val="00E93B00"/>
    <w:rsid w:val="00E94557"/>
    <w:rsid w:val="00E94934"/>
    <w:rsid w:val="00E95273"/>
    <w:rsid w:val="00E95585"/>
    <w:rsid w:val="00E95707"/>
    <w:rsid w:val="00E95C64"/>
    <w:rsid w:val="00E962E5"/>
    <w:rsid w:val="00E97567"/>
    <w:rsid w:val="00E97DF4"/>
    <w:rsid w:val="00E97E0E"/>
    <w:rsid w:val="00EA01F3"/>
    <w:rsid w:val="00EA02E5"/>
    <w:rsid w:val="00EA10BE"/>
    <w:rsid w:val="00EA10C4"/>
    <w:rsid w:val="00EA14E9"/>
    <w:rsid w:val="00EA1FBC"/>
    <w:rsid w:val="00EA2570"/>
    <w:rsid w:val="00EA282B"/>
    <w:rsid w:val="00EA398B"/>
    <w:rsid w:val="00EA4172"/>
    <w:rsid w:val="00EA42F8"/>
    <w:rsid w:val="00EA49FB"/>
    <w:rsid w:val="00EA5000"/>
    <w:rsid w:val="00EA5127"/>
    <w:rsid w:val="00EA52BE"/>
    <w:rsid w:val="00EA5A35"/>
    <w:rsid w:val="00EA5AF0"/>
    <w:rsid w:val="00EA5B38"/>
    <w:rsid w:val="00EA72EB"/>
    <w:rsid w:val="00EA7959"/>
    <w:rsid w:val="00EB21CF"/>
    <w:rsid w:val="00EB2810"/>
    <w:rsid w:val="00EB28EF"/>
    <w:rsid w:val="00EB2FDE"/>
    <w:rsid w:val="00EB3162"/>
    <w:rsid w:val="00EB34AB"/>
    <w:rsid w:val="00EB3ACF"/>
    <w:rsid w:val="00EB3ED7"/>
    <w:rsid w:val="00EB4B68"/>
    <w:rsid w:val="00EB5157"/>
    <w:rsid w:val="00EB53C8"/>
    <w:rsid w:val="00EB5585"/>
    <w:rsid w:val="00EB5EEB"/>
    <w:rsid w:val="00EB6439"/>
    <w:rsid w:val="00EB68C9"/>
    <w:rsid w:val="00EB6A8F"/>
    <w:rsid w:val="00EB6E60"/>
    <w:rsid w:val="00EB71C5"/>
    <w:rsid w:val="00EB755C"/>
    <w:rsid w:val="00EC08FE"/>
    <w:rsid w:val="00EC1D9B"/>
    <w:rsid w:val="00EC2EDD"/>
    <w:rsid w:val="00EC306D"/>
    <w:rsid w:val="00EC3872"/>
    <w:rsid w:val="00EC3CDA"/>
    <w:rsid w:val="00EC4496"/>
    <w:rsid w:val="00EC4AA3"/>
    <w:rsid w:val="00EC4BC9"/>
    <w:rsid w:val="00EC5D75"/>
    <w:rsid w:val="00EC5F36"/>
    <w:rsid w:val="00EC6115"/>
    <w:rsid w:val="00EC61E6"/>
    <w:rsid w:val="00EC6248"/>
    <w:rsid w:val="00EC6B95"/>
    <w:rsid w:val="00EC6D5E"/>
    <w:rsid w:val="00EC6F5A"/>
    <w:rsid w:val="00EC72FD"/>
    <w:rsid w:val="00EC760A"/>
    <w:rsid w:val="00EC7BFA"/>
    <w:rsid w:val="00ED00B5"/>
    <w:rsid w:val="00ED0381"/>
    <w:rsid w:val="00ED078F"/>
    <w:rsid w:val="00ED0971"/>
    <w:rsid w:val="00ED0C51"/>
    <w:rsid w:val="00ED1592"/>
    <w:rsid w:val="00ED2361"/>
    <w:rsid w:val="00ED25B4"/>
    <w:rsid w:val="00ED2A37"/>
    <w:rsid w:val="00ED3120"/>
    <w:rsid w:val="00ED3864"/>
    <w:rsid w:val="00ED3B00"/>
    <w:rsid w:val="00ED55BF"/>
    <w:rsid w:val="00ED63AD"/>
    <w:rsid w:val="00ED64BA"/>
    <w:rsid w:val="00ED6946"/>
    <w:rsid w:val="00ED6AC0"/>
    <w:rsid w:val="00ED6FDB"/>
    <w:rsid w:val="00ED7234"/>
    <w:rsid w:val="00ED7479"/>
    <w:rsid w:val="00ED7A15"/>
    <w:rsid w:val="00ED7E81"/>
    <w:rsid w:val="00EE01B2"/>
    <w:rsid w:val="00EE0E93"/>
    <w:rsid w:val="00EE10AE"/>
    <w:rsid w:val="00EE1680"/>
    <w:rsid w:val="00EE1F73"/>
    <w:rsid w:val="00EE2D90"/>
    <w:rsid w:val="00EE36CB"/>
    <w:rsid w:val="00EE376B"/>
    <w:rsid w:val="00EE3900"/>
    <w:rsid w:val="00EE4336"/>
    <w:rsid w:val="00EE4BC6"/>
    <w:rsid w:val="00EE4CBB"/>
    <w:rsid w:val="00EE556B"/>
    <w:rsid w:val="00EE56D9"/>
    <w:rsid w:val="00EE5BE0"/>
    <w:rsid w:val="00EE5C23"/>
    <w:rsid w:val="00EE6294"/>
    <w:rsid w:val="00EE6B1F"/>
    <w:rsid w:val="00EE6CC5"/>
    <w:rsid w:val="00EE781C"/>
    <w:rsid w:val="00EF0845"/>
    <w:rsid w:val="00EF1175"/>
    <w:rsid w:val="00EF170E"/>
    <w:rsid w:val="00EF1F2C"/>
    <w:rsid w:val="00EF2D3A"/>
    <w:rsid w:val="00EF3042"/>
    <w:rsid w:val="00EF34E1"/>
    <w:rsid w:val="00EF45C3"/>
    <w:rsid w:val="00EF5071"/>
    <w:rsid w:val="00EF6480"/>
    <w:rsid w:val="00EF708C"/>
    <w:rsid w:val="00EF761E"/>
    <w:rsid w:val="00F006E7"/>
    <w:rsid w:val="00F009A0"/>
    <w:rsid w:val="00F01033"/>
    <w:rsid w:val="00F01C11"/>
    <w:rsid w:val="00F01CC8"/>
    <w:rsid w:val="00F025C8"/>
    <w:rsid w:val="00F03047"/>
    <w:rsid w:val="00F034C5"/>
    <w:rsid w:val="00F03798"/>
    <w:rsid w:val="00F039A1"/>
    <w:rsid w:val="00F049DB"/>
    <w:rsid w:val="00F04A5B"/>
    <w:rsid w:val="00F04CF8"/>
    <w:rsid w:val="00F04F23"/>
    <w:rsid w:val="00F06754"/>
    <w:rsid w:val="00F06891"/>
    <w:rsid w:val="00F072D8"/>
    <w:rsid w:val="00F074E8"/>
    <w:rsid w:val="00F07507"/>
    <w:rsid w:val="00F1062D"/>
    <w:rsid w:val="00F10B39"/>
    <w:rsid w:val="00F10DAE"/>
    <w:rsid w:val="00F112D4"/>
    <w:rsid w:val="00F1214D"/>
    <w:rsid w:val="00F1256C"/>
    <w:rsid w:val="00F12D8E"/>
    <w:rsid w:val="00F131B8"/>
    <w:rsid w:val="00F1334C"/>
    <w:rsid w:val="00F136A3"/>
    <w:rsid w:val="00F13C1C"/>
    <w:rsid w:val="00F15683"/>
    <w:rsid w:val="00F159B0"/>
    <w:rsid w:val="00F163D6"/>
    <w:rsid w:val="00F16878"/>
    <w:rsid w:val="00F171E9"/>
    <w:rsid w:val="00F17465"/>
    <w:rsid w:val="00F17499"/>
    <w:rsid w:val="00F17CB4"/>
    <w:rsid w:val="00F20ABB"/>
    <w:rsid w:val="00F20BAB"/>
    <w:rsid w:val="00F21C94"/>
    <w:rsid w:val="00F22134"/>
    <w:rsid w:val="00F23570"/>
    <w:rsid w:val="00F2411A"/>
    <w:rsid w:val="00F2432A"/>
    <w:rsid w:val="00F24496"/>
    <w:rsid w:val="00F25632"/>
    <w:rsid w:val="00F25A7D"/>
    <w:rsid w:val="00F26041"/>
    <w:rsid w:val="00F260CE"/>
    <w:rsid w:val="00F272CF"/>
    <w:rsid w:val="00F2740C"/>
    <w:rsid w:val="00F27532"/>
    <w:rsid w:val="00F27BA5"/>
    <w:rsid w:val="00F27BAA"/>
    <w:rsid w:val="00F27F11"/>
    <w:rsid w:val="00F30672"/>
    <w:rsid w:val="00F3096D"/>
    <w:rsid w:val="00F3098A"/>
    <w:rsid w:val="00F30ADD"/>
    <w:rsid w:val="00F30CF4"/>
    <w:rsid w:val="00F30D9E"/>
    <w:rsid w:val="00F31E09"/>
    <w:rsid w:val="00F3206D"/>
    <w:rsid w:val="00F32DFA"/>
    <w:rsid w:val="00F3373E"/>
    <w:rsid w:val="00F33A69"/>
    <w:rsid w:val="00F33D9D"/>
    <w:rsid w:val="00F34819"/>
    <w:rsid w:val="00F405D0"/>
    <w:rsid w:val="00F40780"/>
    <w:rsid w:val="00F410A7"/>
    <w:rsid w:val="00F419C5"/>
    <w:rsid w:val="00F4201C"/>
    <w:rsid w:val="00F420B0"/>
    <w:rsid w:val="00F42131"/>
    <w:rsid w:val="00F4224D"/>
    <w:rsid w:val="00F424F5"/>
    <w:rsid w:val="00F42D09"/>
    <w:rsid w:val="00F42F2A"/>
    <w:rsid w:val="00F43EFA"/>
    <w:rsid w:val="00F44B0B"/>
    <w:rsid w:val="00F44F60"/>
    <w:rsid w:val="00F44FC4"/>
    <w:rsid w:val="00F45D92"/>
    <w:rsid w:val="00F46C71"/>
    <w:rsid w:val="00F46E95"/>
    <w:rsid w:val="00F47186"/>
    <w:rsid w:val="00F4758F"/>
    <w:rsid w:val="00F4783C"/>
    <w:rsid w:val="00F4796B"/>
    <w:rsid w:val="00F47DE1"/>
    <w:rsid w:val="00F519F0"/>
    <w:rsid w:val="00F5373D"/>
    <w:rsid w:val="00F53E6B"/>
    <w:rsid w:val="00F557A9"/>
    <w:rsid w:val="00F55ADA"/>
    <w:rsid w:val="00F55C38"/>
    <w:rsid w:val="00F5618E"/>
    <w:rsid w:val="00F56FAE"/>
    <w:rsid w:val="00F57446"/>
    <w:rsid w:val="00F5764E"/>
    <w:rsid w:val="00F57905"/>
    <w:rsid w:val="00F60A45"/>
    <w:rsid w:val="00F60F5B"/>
    <w:rsid w:val="00F61ABD"/>
    <w:rsid w:val="00F61D1A"/>
    <w:rsid w:val="00F62F5B"/>
    <w:rsid w:val="00F634C2"/>
    <w:rsid w:val="00F642D5"/>
    <w:rsid w:val="00F6501D"/>
    <w:rsid w:val="00F65B66"/>
    <w:rsid w:val="00F679DE"/>
    <w:rsid w:val="00F702B7"/>
    <w:rsid w:val="00F70BD7"/>
    <w:rsid w:val="00F71A48"/>
    <w:rsid w:val="00F71B43"/>
    <w:rsid w:val="00F71CD5"/>
    <w:rsid w:val="00F720FD"/>
    <w:rsid w:val="00F72154"/>
    <w:rsid w:val="00F73155"/>
    <w:rsid w:val="00F747F0"/>
    <w:rsid w:val="00F74BE6"/>
    <w:rsid w:val="00F75815"/>
    <w:rsid w:val="00F75B30"/>
    <w:rsid w:val="00F75EB3"/>
    <w:rsid w:val="00F77811"/>
    <w:rsid w:val="00F811DB"/>
    <w:rsid w:val="00F8159B"/>
    <w:rsid w:val="00F819B1"/>
    <w:rsid w:val="00F81FAB"/>
    <w:rsid w:val="00F82168"/>
    <w:rsid w:val="00F824A9"/>
    <w:rsid w:val="00F825CF"/>
    <w:rsid w:val="00F8361F"/>
    <w:rsid w:val="00F83D45"/>
    <w:rsid w:val="00F8496C"/>
    <w:rsid w:val="00F851A0"/>
    <w:rsid w:val="00F85A40"/>
    <w:rsid w:val="00F862C5"/>
    <w:rsid w:val="00F87587"/>
    <w:rsid w:val="00F9026C"/>
    <w:rsid w:val="00F90568"/>
    <w:rsid w:val="00F90711"/>
    <w:rsid w:val="00F9073F"/>
    <w:rsid w:val="00F90FFB"/>
    <w:rsid w:val="00F91966"/>
    <w:rsid w:val="00F91C40"/>
    <w:rsid w:val="00F91D54"/>
    <w:rsid w:val="00F91D5A"/>
    <w:rsid w:val="00F91E1A"/>
    <w:rsid w:val="00F92370"/>
    <w:rsid w:val="00F927CE"/>
    <w:rsid w:val="00F92966"/>
    <w:rsid w:val="00F93053"/>
    <w:rsid w:val="00F9337C"/>
    <w:rsid w:val="00F93A1D"/>
    <w:rsid w:val="00F940B7"/>
    <w:rsid w:val="00F95AF5"/>
    <w:rsid w:val="00F95CF2"/>
    <w:rsid w:val="00F95E80"/>
    <w:rsid w:val="00F9618F"/>
    <w:rsid w:val="00F96281"/>
    <w:rsid w:val="00F966A7"/>
    <w:rsid w:val="00F96FF2"/>
    <w:rsid w:val="00FA0E57"/>
    <w:rsid w:val="00FA11E9"/>
    <w:rsid w:val="00FA16AC"/>
    <w:rsid w:val="00FA174C"/>
    <w:rsid w:val="00FA1F57"/>
    <w:rsid w:val="00FA22D4"/>
    <w:rsid w:val="00FA2902"/>
    <w:rsid w:val="00FA32B5"/>
    <w:rsid w:val="00FA3AF1"/>
    <w:rsid w:val="00FA422E"/>
    <w:rsid w:val="00FA48EE"/>
    <w:rsid w:val="00FA491B"/>
    <w:rsid w:val="00FA4AD4"/>
    <w:rsid w:val="00FA4B0F"/>
    <w:rsid w:val="00FA4B78"/>
    <w:rsid w:val="00FA4C43"/>
    <w:rsid w:val="00FA52BC"/>
    <w:rsid w:val="00FA5516"/>
    <w:rsid w:val="00FA57FD"/>
    <w:rsid w:val="00FA59A9"/>
    <w:rsid w:val="00FA5D39"/>
    <w:rsid w:val="00FA607A"/>
    <w:rsid w:val="00FA6206"/>
    <w:rsid w:val="00FA6602"/>
    <w:rsid w:val="00FA7AE6"/>
    <w:rsid w:val="00FB0698"/>
    <w:rsid w:val="00FB0E17"/>
    <w:rsid w:val="00FB0E61"/>
    <w:rsid w:val="00FB10AE"/>
    <w:rsid w:val="00FB14F8"/>
    <w:rsid w:val="00FB1B6E"/>
    <w:rsid w:val="00FB1CA3"/>
    <w:rsid w:val="00FB1CAD"/>
    <w:rsid w:val="00FB1E80"/>
    <w:rsid w:val="00FB1FC4"/>
    <w:rsid w:val="00FB2041"/>
    <w:rsid w:val="00FB295C"/>
    <w:rsid w:val="00FB42E2"/>
    <w:rsid w:val="00FB44BE"/>
    <w:rsid w:val="00FB4AF1"/>
    <w:rsid w:val="00FB4BBC"/>
    <w:rsid w:val="00FB4BF8"/>
    <w:rsid w:val="00FB53C8"/>
    <w:rsid w:val="00FB59E9"/>
    <w:rsid w:val="00FB5A8E"/>
    <w:rsid w:val="00FB659C"/>
    <w:rsid w:val="00FC0714"/>
    <w:rsid w:val="00FC0AA3"/>
    <w:rsid w:val="00FC12B6"/>
    <w:rsid w:val="00FC1D10"/>
    <w:rsid w:val="00FC20D9"/>
    <w:rsid w:val="00FC2F5E"/>
    <w:rsid w:val="00FC34E9"/>
    <w:rsid w:val="00FC3CE5"/>
    <w:rsid w:val="00FC3E5E"/>
    <w:rsid w:val="00FC4806"/>
    <w:rsid w:val="00FC4E53"/>
    <w:rsid w:val="00FC4FB1"/>
    <w:rsid w:val="00FC540C"/>
    <w:rsid w:val="00FC658E"/>
    <w:rsid w:val="00FC65A9"/>
    <w:rsid w:val="00FC68B6"/>
    <w:rsid w:val="00FC6996"/>
    <w:rsid w:val="00FC6A2B"/>
    <w:rsid w:val="00FC6C7F"/>
    <w:rsid w:val="00FC76A8"/>
    <w:rsid w:val="00FC781F"/>
    <w:rsid w:val="00FC7FA2"/>
    <w:rsid w:val="00FD0B94"/>
    <w:rsid w:val="00FD0BF6"/>
    <w:rsid w:val="00FD0CB9"/>
    <w:rsid w:val="00FD0F29"/>
    <w:rsid w:val="00FD136B"/>
    <w:rsid w:val="00FD1602"/>
    <w:rsid w:val="00FD268D"/>
    <w:rsid w:val="00FD27EC"/>
    <w:rsid w:val="00FD2A82"/>
    <w:rsid w:val="00FD3E1F"/>
    <w:rsid w:val="00FD3E74"/>
    <w:rsid w:val="00FD40EC"/>
    <w:rsid w:val="00FD451E"/>
    <w:rsid w:val="00FD4AAE"/>
    <w:rsid w:val="00FD4E60"/>
    <w:rsid w:val="00FD56DD"/>
    <w:rsid w:val="00FD5781"/>
    <w:rsid w:val="00FD6052"/>
    <w:rsid w:val="00FD6447"/>
    <w:rsid w:val="00FD680E"/>
    <w:rsid w:val="00FD6B46"/>
    <w:rsid w:val="00FD6D80"/>
    <w:rsid w:val="00FD7AC4"/>
    <w:rsid w:val="00FD7B59"/>
    <w:rsid w:val="00FE00AD"/>
    <w:rsid w:val="00FE00EA"/>
    <w:rsid w:val="00FE09DD"/>
    <w:rsid w:val="00FE138A"/>
    <w:rsid w:val="00FE1AC8"/>
    <w:rsid w:val="00FE1AED"/>
    <w:rsid w:val="00FE278F"/>
    <w:rsid w:val="00FE2F67"/>
    <w:rsid w:val="00FE3203"/>
    <w:rsid w:val="00FE3FC0"/>
    <w:rsid w:val="00FE40D4"/>
    <w:rsid w:val="00FE4687"/>
    <w:rsid w:val="00FE54D7"/>
    <w:rsid w:val="00FE5D81"/>
    <w:rsid w:val="00FE605C"/>
    <w:rsid w:val="00FE6BB2"/>
    <w:rsid w:val="00FE6C59"/>
    <w:rsid w:val="00FE7116"/>
    <w:rsid w:val="00FE7250"/>
    <w:rsid w:val="00FF02D7"/>
    <w:rsid w:val="00FF06BC"/>
    <w:rsid w:val="00FF0A9C"/>
    <w:rsid w:val="00FF0AF0"/>
    <w:rsid w:val="00FF0BA1"/>
    <w:rsid w:val="00FF0BAC"/>
    <w:rsid w:val="00FF123F"/>
    <w:rsid w:val="00FF1482"/>
    <w:rsid w:val="00FF1882"/>
    <w:rsid w:val="00FF1AC2"/>
    <w:rsid w:val="00FF3990"/>
    <w:rsid w:val="00FF407C"/>
    <w:rsid w:val="00FF4273"/>
    <w:rsid w:val="00FF47D5"/>
    <w:rsid w:val="00FF4992"/>
    <w:rsid w:val="00FF5275"/>
    <w:rsid w:val="00FF5388"/>
    <w:rsid w:val="00FF5F5D"/>
    <w:rsid w:val="00FF633E"/>
    <w:rsid w:val="00FF6BF4"/>
    <w:rsid w:val="00FF744A"/>
    <w:rsid w:val="00FF79C7"/>
    <w:rsid w:val="00FF7ACF"/>
    <w:rsid w:val="00FF7EC1"/>
    <w:rsid w:val="00FF7F63"/>
    <w:rsid w:val="01060350"/>
    <w:rsid w:val="011A2C49"/>
    <w:rsid w:val="019F53B1"/>
    <w:rsid w:val="01BA641E"/>
    <w:rsid w:val="01E74BC9"/>
    <w:rsid w:val="01F355B1"/>
    <w:rsid w:val="02572CF7"/>
    <w:rsid w:val="02894C1B"/>
    <w:rsid w:val="02901827"/>
    <w:rsid w:val="039935FE"/>
    <w:rsid w:val="03B65C02"/>
    <w:rsid w:val="05224944"/>
    <w:rsid w:val="061770EC"/>
    <w:rsid w:val="065A6D13"/>
    <w:rsid w:val="068D2F3D"/>
    <w:rsid w:val="06D0743C"/>
    <w:rsid w:val="06F35FDC"/>
    <w:rsid w:val="0726490A"/>
    <w:rsid w:val="07273B3A"/>
    <w:rsid w:val="072D42BA"/>
    <w:rsid w:val="077275AF"/>
    <w:rsid w:val="078478C1"/>
    <w:rsid w:val="07A4234D"/>
    <w:rsid w:val="08402569"/>
    <w:rsid w:val="08436CF9"/>
    <w:rsid w:val="087104C7"/>
    <w:rsid w:val="08DB5A42"/>
    <w:rsid w:val="08DB691C"/>
    <w:rsid w:val="08FD28E9"/>
    <w:rsid w:val="09620700"/>
    <w:rsid w:val="09A83591"/>
    <w:rsid w:val="09C63955"/>
    <w:rsid w:val="09E11FEC"/>
    <w:rsid w:val="0B0F0A1F"/>
    <w:rsid w:val="0B3F5172"/>
    <w:rsid w:val="0B7A26B3"/>
    <w:rsid w:val="0BFD73A3"/>
    <w:rsid w:val="0C505519"/>
    <w:rsid w:val="0D225D61"/>
    <w:rsid w:val="0DF40F95"/>
    <w:rsid w:val="0E1A018C"/>
    <w:rsid w:val="0E7A0311"/>
    <w:rsid w:val="0F04374B"/>
    <w:rsid w:val="0F401D91"/>
    <w:rsid w:val="0F8E095B"/>
    <w:rsid w:val="0FA8632D"/>
    <w:rsid w:val="100C7F18"/>
    <w:rsid w:val="10301575"/>
    <w:rsid w:val="109B5479"/>
    <w:rsid w:val="10AC1DF3"/>
    <w:rsid w:val="10B575FB"/>
    <w:rsid w:val="11813E4E"/>
    <w:rsid w:val="135F1D54"/>
    <w:rsid w:val="1363268D"/>
    <w:rsid w:val="13796B41"/>
    <w:rsid w:val="13AF43C7"/>
    <w:rsid w:val="144F6826"/>
    <w:rsid w:val="145D7D5C"/>
    <w:rsid w:val="14DA19DC"/>
    <w:rsid w:val="155470A8"/>
    <w:rsid w:val="159E049A"/>
    <w:rsid w:val="16017A96"/>
    <w:rsid w:val="16AE4DA0"/>
    <w:rsid w:val="16F11BFB"/>
    <w:rsid w:val="17BC7BE6"/>
    <w:rsid w:val="17E11B04"/>
    <w:rsid w:val="17F406A8"/>
    <w:rsid w:val="180E3928"/>
    <w:rsid w:val="1855411D"/>
    <w:rsid w:val="18D4295B"/>
    <w:rsid w:val="18DF68A6"/>
    <w:rsid w:val="1995784F"/>
    <w:rsid w:val="1BBE6A38"/>
    <w:rsid w:val="1C2C7E42"/>
    <w:rsid w:val="1C307F52"/>
    <w:rsid w:val="1D301FDD"/>
    <w:rsid w:val="1D4E4A0B"/>
    <w:rsid w:val="1D5C52A9"/>
    <w:rsid w:val="1DF3170B"/>
    <w:rsid w:val="1E783D46"/>
    <w:rsid w:val="1EA753D7"/>
    <w:rsid w:val="1FAB213D"/>
    <w:rsid w:val="213F5F54"/>
    <w:rsid w:val="21542870"/>
    <w:rsid w:val="21870438"/>
    <w:rsid w:val="21DC7E14"/>
    <w:rsid w:val="21E71C50"/>
    <w:rsid w:val="238A0A84"/>
    <w:rsid w:val="24053CBF"/>
    <w:rsid w:val="243C06D9"/>
    <w:rsid w:val="246C1582"/>
    <w:rsid w:val="24E4618A"/>
    <w:rsid w:val="25024DF8"/>
    <w:rsid w:val="25084FA9"/>
    <w:rsid w:val="25C72618"/>
    <w:rsid w:val="26AD76EF"/>
    <w:rsid w:val="26E36BDB"/>
    <w:rsid w:val="270A0052"/>
    <w:rsid w:val="27316BD5"/>
    <w:rsid w:val="2765278D"/>
    <w:rsid w:val="27933770"/>
    <w:rsid w:val="286F7EE3"/>
    <w:rsid w:val="28F23B02"/>
    <w:rsid w:val="2940194F"/>
    <w:rsid w:val="29931F6D"/>
    <w:rsid w:val="29D01D6C"/>
    <w:rsid w:val="2AC60082"/>
    <w:rsid w:val="2B17006C"/>
    <w:rsid w:val="2B7A7CCC"/>
    <w:rsid w:val="2BEF2D60"/>
    <w:rsid w:val="2C16387B"/>
    <w:rsid w:val="2C6C284A"/>
    <w:rsid w:val="2C907FCD"/>
    <w:rsid w:val="2D3C5C5C"/>
    <w:rsid w:val="2D8E64D7"/>
    <w:rsid w:val="2DE347B3"/>
    <w:rsid w:val="2E020D76"/>
    <w:rsid w:val="2E6F017E"/>
    <w:rsid w:val="2E844A91"/>
    <w:rsid w:val="2F596A6F"/>
    <w:rsid w:val="2F8A4175"/>
    <w:rsid w:val="2FC86802"/>
    <w:rsid w:val="30AC2FD9"/>
    <w:rsid w:val="30AF3B17"/>
    <w:rsid w:val="30EF5DA1"/>
    <w:rsid w:val="30F86702"/>
    <w:rsid w:val="31041376"/>
    <w:rsid w:val="3199559D"/>
    <w:rsid w:val="31C23FD7"/>
    <w:rsid w:val="31CA087B"/>
    <w:rsid w:val="32EB303B"/>
    <w:rsid w:val="335C12EB"/>
    <w:rsid w:val="34F90CDC"/>
    <w:rsid w:val="35C92B0A"/>
    <w:rsid w:val="35FD271A"/>
    <w:rsid w:val="3698611B"/>
    <w:rsid w:val="36D24825"/>
    <w:rsid w:val="377A3C79"/>
    <w:rsid w:val="38FC6415"/>
    <w:rsid w:val="3AC2140C"/>
    <w:rsid w:val="3AE5226D"/>
    <w:rsid w:val="3B584438"/>
    <w:rsid w:val="3BCB0943"/>
    <w:rsid w:val="3C0B3A8F"/>
    <w:rsid w:val="3C8F4B44"/>
    <w:rsid w:val="3D0F5B92"/>
    <w:rsid w:val="3D7256CA"/>
    <w:rsid w:val="3D777178"/>
    <w:rsid w:val="3D8B714A"/>
    <w:rsid w:val="3DEB1B9A"/>
    <w:rsid w:val="3E5A47BB"/>
    <w:rsid w:val="3EAD15A3"/>
    <w:rsid w:val="3EEB2E6B"/>
    <w:rsid w:val="3F064399"/>
    <w:rsid w:val="3F713400"/>
    <w:rsid w:val="3F8305AE"/>
    <w:rsid w:val="3FE42B9D"/>
    <w:rsid w:val="3FF865C9"/>
    <w:rsid w:val="40834420"/>
    <w:rsid w:val="40B162E6"/>
    <w:rsid w:val="40B90BCE"/>
    <w:rsid w:val="41785097"/>
    <w:rsid w:val="424F020D"/>
    <w:rsid w:val="42536E6A"/>
    <w:rsid w:val="4269177B"/>
    <w:rsid w:val="42741172"/>
    <w:rsid w:val="43035BDD"/>
    <w:rsid w:val="43387110"/>
    <w:rsid w:val="43B24FC8"/>
    <w:rsid w:val="43F10A00"/>
    <w:rsid w:val="44711D7C"/>
    <w:rsid w:val="45040797"/>
    <w:rsid w:val="454700EE"/>
    <w:rsid w:val="45E73A32"/>
    <w:rsid w:val="461433F2"/>
    <w:rsid w:val="466E0492"/>
    <w:rsid w:val="46A92944"/>
    <w:rsid w:val="46B7162F"/>
    <w:rsid w:val="46BC2FA4"/>
    <w:rsid w:val="499A2073"/>
    <w:rsid w:val="49DB1CF7"/>
    <w:rsid w:val="4A4121CB"/>
    <w:rsid w:val="4A6930E3"/>
    <w:rsid w:val="4A815F2B"/>
    <w:rsid w:val="4A8B6738"/>
    <w:rsid w:val="4A8F0F4B"/>
    <w:rsid w:val="4A9B2152"/>
    <w:rsid w:val="4B552256"/>
    <w:rsid w:val="4C56225E"/>
    <w:rsid w:val="4CED6782"/>
    <w:rsid w:val="4D233A27"/>
    <w:rsid w:val="4D6A775F"/>
    <w:rsid w:val="4DEB6C52"/>
    <w:rsid w:val="4F334512"/>
    <w:rsid w:val="4F6A2A07"/>
    <w:rsid w:val="50134F73"/>
    <w:rsid w:val="506B7E42"/>
    <w:rsid w:val="51213897"/>
    <w:rsid w:val="516F7795"/>
    <w:rsid w:val="51D20984"/>
    <w:rsid w:val="52463249"/>
    <w:rsid w:val="526C34AC"/>
    <w:rsid w:val="52CD01BA"/>
    <w:rsid w:val="5313669D"/>
    <w:rsid w:val="53496E13"/>
    <w:rsid w:val="535956BB"/>
    <w:rsid w:val="538C1C7C"/>
    <w:rsid w:val="53AD3375"/>
    <w:rsid w:val="53F448D7"/>
    <w:rsid w:val="53FC6C6E"/>
    <w:rsid w:val="54967377"/>
    <w:rsid w:val="54AA0E04"/>
    <w:rsid w:val="54D75169"/>
    <w:rsid w:val="557D2055"/>
    <w:rsid w:val="55B06DF5"/>
    <w:rsid w:val="56200485"/>
    <w:rsid w:val="56871F6B"/>
    <w:rsid w:val="56E51C57"/>
    <w:rsid w:val="56F65CF1"/>
    <w:rsid w:val="576B7E87"/>
    <w:rsid w:val="577A4B70"/>
    <w:rsid w:val="57A32F32"/>
    <w:rsid w:val="587A713D"/>
    <w:rsid w:val="588F165A"/>
    <w:rsid w:val="589A0A49"/>
    <w:rsid w:val="589D74F5"/>
    <w:rsid w:val="59FE56FB"/>
    <w:rsid w:val="5A21040F"/>
    <w:rsid w:val="5A2E40D8"/>
    <w:rsid w:val="5A832DF6"/>
    <w:rsid w:val="5B050C60"/>
    <w:rsid w:val="5B0F1B1C"/>
    <w:rsid w:val="5BA8042C"/>
    <w:rsid w:val="5BE75248"/>
    <w:rsid w:val="5CC97578"/>
    <w:rsid w:val="5D2409A6"/>
    <w:rsid w:val="5D437747"/>
    <w:rsid w:val="5EE307A0"/>
    <w:rsid w:val="602D34EA"/>
    <w:rsid w:val="608C5B50"/>
    <w:rsid w:val="61077355"/>
    <w:rsid w:val="61B83D5F"/>
    <w:rsid w:val="61CE10D6"/>
    <w:rsid w:val="62F7724D"/>
    <w:rsid w:val="63950213"/>
    <w:rsid w:val="65221A44"/>
    <w:rsid w:val="67331742"/>
    <w:rsid w:val="687264AA"/>
    <w:rsid w:val="68EA6979"/>
    <w:rsid w:val="69004509"/>
    <w:rsid w:val="6A0440BA"/>
    <w:rsid w:val="6A3A5BEF"/>
    <w:rsid w:val="6A514B5C"/>
    <w:rsid w:val="6B4B58BB"/>
    <w:rsid w:val="6B802DD7"/>
    <w:rsid w:val="6BA32EE5"/>
    <w:rsid w:val="6BB03C64"/>
    <w:rsid w:val="6CAE49A9"/>
    <w:rsid w:val="6D7B6F0C"/>
    <w:rsid w:val="6EA07A50"/>
    <w:rsid w:val="6EB231DA"/>
    <w:rsid w:val="6ED26621"/>
    <w:rsid w:val="6EEA63C7"/>
    <w:rsid w:val="6EF547BB"/>
    <w:rsid w:val="6F304F0D"/>
    <w:rsid w:val="6F5071F1"/>
    <w:rsid w:val="6F9350D1"/>
    <w:rsid w:val="6FBB0BEE"/>
    <w:rsid w:val="702246EB"/>
    <w:rsid w:val="71FC3C05"/>
    <w:rsid w:val="72116AF0"/>
    <w:rsid w:val="72917971"/>
    <w:rsid w:val="72B40456"/>
    <w:rsid w:val="72E57704"/>
    <w:rsid w:val="73084C2A"/>
    <w:rsid w:val="733F231A"/>
    <w:rsid w:val="73E5216E"/>
    <w:rsid w:val="741E5148"/>
    <w:rsid w:val="7488487A"/>
    <w:rsid w:val="74DB626D"/>
    <w:rsid w:val="75410072"/>
    <w:rsid w:val="756E34CA"/>
    <w:rsid w:val="75716B1A"/>
    <w:rsid w:val="759C45E6"/>
    <w:rsid w:val="75A84B49"/>
    <w:rsid w:val="75AA51E3"/>
    <w:rsid w:val="75B035F4"/>
    <w:rsid w:val="75C17A68"/>
    <w:rsid w:val="75FA5DC5"/>
    <w:rsid w:val="776249BE"/>
    <w:rsid w:val="777815AA"/>
    <w:rsid w:val="77F87B7B"/>
    <w:rsid w:val="78127927"/>
    <w:rsid w:val="78E506DF"/>
    <w:rsid w:val="790D6746"/>
    <w:rsid w:val="7927241C"/>
    <w:rsid w:val="792C048F"/>
    <w:rsid w:val="79422A2A"/>
    <w:rsid w:val="79A26594"/>
    <w:rsid w:val="79B35ED1"/>
    <w:rsid w:val="7AF12A87"/>
    <w:rsid w:val="7B0059D2"/>
    <w:rsid w:val="7B410205"/>
    <w:rsid w:val="7B4566F1"/>
    <w:rsid w:val="7B5B3B7C"/>
    <w:rsid w:val="7B76783D"/>
    <w:rsid w:val="7CA81F26"/>
    <w:rsid w:val="7CAF0645"/>
    <w:rsid w:val="7D0953B7"/>
    <w:rsid w:val="7D2A6004"/>
    <w:rsid w:val="7D813F45"/>
    <w:rsid w:val="7E0131DB"/>
    <w:rsid w:val="7E5E287F"/>
    <w:rsid w:val="7EAC2ED7"/>
    <w:rsid w:val="7F9709AB"/>
    <w:rsid w:val="7F9D1AD5"/>
    <w:rsid w:val="7FA11F72"/>
    <w:rsid w:val="7FC25C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39" w:semiHidden="0" w:name="toc 4"/>
    <w:lsdException w:unhideWhenUsed="0" w:uiPriority="39" w:semiHidden="0" w:name="toc 5"/>
    <w:lsdException w:unhideWhenUsed="0" w:uiPriority="39" w:semiHidden="0" w:name="toc 6"/>
    <w:lsdException w:unhideWhenUsed="0" w:uiPriority="39" w:semiHidden="0" w:name="toc 7"/>
    <w:lsdException w:unhideWhenUsed="0" w:uiPriority="39" w:semiHidden="0" w:name="toc 8"/>
    <w:lsdException w:unhideWhenUsed="0" w:uiPriority="39"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8"/>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9"/>
    <w:qFormat/>
    <w:uiPriority w:val="9"/>
    <w:pPr>
      <w:keepNext/>
      <w:keepLines/>
      <w:spacing w:before="260" w:after="260" w:line="416" w:lineRule="auto"/>
      <w:outlineLvl w:val="1"/>
    </w:pPr>
    <w:rPr>
      <w:rFonts w:ascii="Cambria" w:hAnsi="Cambria"/>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szCs w:val="22"/>
    </w:rPr>
  </w:style>
  <w:style w:type="paragraph" w:styleId="5">
    <w:name w:val="Plain Text"/>
    <w:basedOn w:val="1"/>
    <w:link w:val="20"/>
    <w:qFormat/>
    <w:uiPriority w:val="0"/>
    <w:rPr>
      <w:rFonts w:ascii="宋体" w:hAnsi="Courier New" w:cs="Courier New"/>
      <w:szCs w:val="21"/>
    </w:rPr>
  </w:style>
  <w:style w:type="paragraph" w:styleId="6">
    <w:name w:val="Date"/>
    <w:basedOn w:val="1"/>
    <w:next w:val="1"/>
    <w:qFormat/>
    <w:uiPriority w:val="0"/>
    <w:pPr>
      <w:widowControl/>
    </w:pPr>
    <w:rPr>
      <w:rFonts w:ascii="仿宋_GB2312"/>
      <w:kern w:val="0"/>
      <w:sz w:val="32"/>
      <w:szCs w:val="20"/>
    </w:rPr>
  </w:style>
  <w:style w:type="paragraph" w:styleId="7">
    <w:name w:val="Balloon Text"/>
    <w:basedOn w:val="1"/>
    <w:link w:val="21"/>
    <w:qFormat/>
    <w:uiPriority w:val="0"/>
    <w:rPr>
      <w:sz w:val="18"/>
      <w:szCs w:val="18"/>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link w:val="22"/>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pPr>
      <w:widowControl/>
      <w:spacing w:after="100" w:line="276" w:lineRule="auto"/>
      <w:jc w:val="left"/>
    </w:pPr>
    <w:rPr>
      <w:rFonts w:asciiTheme="minorHAnsi" w:hAnsiTheme="minorHAnsi" w:eastAsiaTheme="minorEastAsia" w:cstheme="minorBidi"/>
      <w:kern w:val="0"/>
      <w:sz w:val="22"/>
      <w:szCs w:val="22"/>
    </w:rPr>
  </w:style>
  <w:style w:type="paragraph" w:styleId="11">
    <w:name w:val="Body Text Indent 3"/>
    <w:basedOn w:val="1"/>
    <w:qFormat/>
    <w:uiPriority w:val="0"/>
    <w:pPr>
      <w:ind w:left="300" w:hanging="300" w:hangingChars="100"/>
    </w:pPr>
    <w:rPr>
      <w:rFonts w:ascii="宋体" w:hAnsi="宋体"/>
      <w:sz w:val="30"/>
    </w:rPr>
  </w:style>
  <w:style w:type="paragraph" w:styleId="12">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szCs w:val="22"/>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page number"/>
    <w:basedOn w:val="15"/>
    <w:qFormat/>
    <w:uiPriority w:val="0"/>
  </w:style>
  <w:style w:type="character" w:styleId="17">
    <w:name w:val="Hyperlink"/>
    <w:basedOn w:val="15"/>
    <w:qFormat/>
    <w:uiPriority w:val="99"/>
    <w:rPr>
      <w:color w:val="0000FF"/>
      <w:u w:val="single"/>
    </w:rPr>
  </w:style>
  <w:style w:type="character" w:customStyle="1" w:styleId="18">
    <w:name w:val="标题 1 Char"/>
    <w:basedOn w:val="15"/>
    <w:link w:val="2"/>
    <w:qFormat/>
    <w:uiPriority w:val="0"/>
    <w:rPr>
      <w:b/>
      <w:bCs/>
      <w:kern w:val="44"/>
      <w:sz w:val="44"/>
      <w:szCs w:val="44"/>
    </w:rPr>
  </w:style>
  <w:style w:type="character" w:customStyle="1" w:styleId="19">
    <w:name w:val="标题 2 Char"/>
    <w:basedOn w:val="15"/>
    <w:link w:val="3"/>
    <w:qFormat/>
    <w:uiPriority w:val="9"/>
    <w:rPr>
      <w:rFonts w:ascii="Cambria" w:hAnsi="Cambria"/>
      <w:b/>
      <w:bCs/>
      <w:kern w:val="2"/>
      <w:sz w:val="32"/>
      <w:szCs w:val="32"/>
    </w:rPr>
  </w:style>
  <w:style w:type="character" w:customStyle="1" w:styleId="20">
    <w:name w:val="纯文本 Char"/>
    <w:basedOn w:val="15"/>
    <w:link w:val="5"/>
    <w:qFormat/>
    <w:uiPriority w:val="0"/>
    <w:rPr>
      <w:rFonts w:ascii="宋体" w:hAnsi="Courier New" w:cs="Courier New"/>
      <w:kern w:val="2"/>
      <w:sz w:val="21"/>
      <w:szCs w:val="21"/>
    </w:rPr>
  </w:style>
  <w:style w:type="character" w:customStyle="1" w:styleId="21">
    <w:name w:val="批注框文本 Char"/>
    <w:basedOn w:val="15"/>
    <w:link w:val="7"/>
    <w:qFormat/>
    <w:uiPriority w:val="0"/>
    <w:rPr>
      <w:kern w:val="2"/>
      <w:sz w:val="18"/>
      <w:szCs w:val="18"/>
    </w:rPr>
  </w:style>
  <w:style w:type="character" w:customStyle="1" w:styleId="22">
    <w:name w:val="页眉 Char"/>
    <w:basedOn w:val="15"/>
    <w:link w:val="9"/>
    <w:qFormat/>
    <w:uiPriority w:val="99"/>
    <w:rPr>
      <w:kern w:val="2"/>
      <w:sz w:val="18"/>
      <w:szCs w:val="18"/>
    </w:rPr>
  </w:style>
  <w:style w:type="character" w:customStyle="1" w:styleId="23">
    <w:name w:val="!正文1.2.4.1 Char Char"/>
    <w:basedOn w:val="15"/>
    <w:qFormat/>
    <w:uiPriority w:val="0"/>
    <w:rPr>
      <w:rFonts w:eastAsia="宋体"/>
      <w:kern w:val="2"/>
      <w:sz w:val="28"/>
      <w:szCs w:val="24"/>
      <w:lang w:val="en-US" w:eastAsia="zh-CN" w:bidi="ar-SA"/>
    </w:rPr>
  </w:style>
  <w:style w:type="character" w:customStyle="1" w:styleId="24">
    <w:name w:val="!正文标题1.3.1 Char Char"/>
    <w:basedOn w:val="15"/>
    <w:qFormat/>
    <w:uiPriority w:val="0"/>
    <w:rPr>
      <w:rFonts w:ascii="宋体" w:eastAsia="宋体" w:cs="宋体"/>
      <w:b/>
      <w:kern w:val="2"/>
      <w:sz w:val="28"/>
      <w:szCs w:val="28"/>
      <w:lang w:val="zh-CN" w:eastAsia="zh-CN" w:bidi="ar-SA"/>
    </w:rPr>
  </w:style>
  <w:style w:type="character" w:customStyle="1" w:styleId="25">
    <w:name w:val="！正文标题1.2.1 Char"/>
    <w:basedOn w:val="15"/>
    <w:qFormat/>
    <w:uiPriority w:val="0"/>
    <w:rPr>
      <w:rFonts w:eastAsia="宋体"/>
      <w:b/>
      <w:kern w:val="2"/>
      <w:sz w:val="28"/>
      <w:szCs w:val="24"/>
      <w:lang w:val="en-US" w:eastAsia="zh-CN" w:bidi="ar-SA"/>
    </w:rPr>
  </w:style>
  <w:style w:type="character" w:customStyle="1" w:styleId="26">
    <w:name w:val="!正文1.2.2.1 Char Char"/>
    <w:basedOn w:val="15"/>
    <w:qFormat/>
    <w:uiPriority w:val="0"/>
    <w:rPr>
      <w:rFonts w:eastAsia="宋体"/>
      <w:kern w:val="2"/>
      <w:sz w:val="28"/>
      <w:szCs w:val="24"/>
      <w:lang w:val="en-US" w:eastAsia="zh-CN" w:bidi="ar-SA"/>
    </w:rPr>
  </w:style>
  <w:style w:type="character" w:customStyle="1" w:styleId="27">
    <w:name w:val="！正文标题1 Char Char"/>
    <w:basedOn w:val="15"/>
    <w:qFormat/>
    <w:uiPriority w:val="0"/>
    <w:rPr>
      <w:rFonts w:eastAsia="黑体"/>
      <w:b/>
      <w:bCs/>
      <w:kern w:val="2"/>
      <w:sz w:val="28"/>
      <w:szCs w:val="28"/>
      <w:lang w:val="en-US" w:eastAsia="zh-CN" w:bidi="ar-SA"/>
    </w:rPr>
  </w:style>
  <w:style w:type="character" w:customStyle="1" w:styleId="28">
    <w:name w:val="!正文2.7.1 Char"/>
    <w:basedOn w:val="15"/>
    <w:link w:val="29"/>
    <w:qFormat/>
    <w:uiPriority w:val="0"/>
    <w:rPr>
      <w:rFonts w:eastAsia="宋体"/>
      <w:b/>
      <w:kern w:val="2"/>
      <w:sz w:val="28"/>
      <w:szCs w:val="24"/>
      <w:lang w:val="en-US" w:eastAsia="zh-CN" w:bidi="ar-SA"/>
    </w:rPr>
  </w:style>
  <w:style w:type="paragraph" w:customStyle="1" w:styleId="29">
    <w:name w:val="!正文2.7.1"/>
    <w:basedOn w:val="1"/>
    <w:link w:val="28"/>
    <w:qFormat/>
    <w:uiPriority w:val="0"/>
    <w:pPr>
      <w:numPr>
        <w:ilvl w:val="0"/>
        <w:numId w:val="1"/>
      </w:numPr>
      <w:spacing w:line="500" w:lineRule="exact"/>
    </w:pPr>
    <w:rPr>
      <w:b/>
      <w:sz w:val="28"/>
    </w:rPr>
  </w:style>
  <w:style w:type="character" w:customStyle="1" w:styleId="30">
    <w:name w:val="！正文标题1.1 Char Char"/>
    <w:basedOn w:val="27"/>
    <w:qFormat/>
    <w:uiPriority w:val="0"/>
    <w:rPr>
      <w:rFonts w:eastAsia="黑体"/>
      <w:kern w:val="2"/>
      <w:sz w:val="28"/>
      <w:szCs w:val="28"/>
      <w:lang w:val="zh-CN" w:eastAsia="zh-CN" w:bidi="ar-SA"/>
    </w:rPr>
  </w:style>
  <w:style w:type="character" w:customStyle="1" w:styleId="31">
    <w:name w:val="!正文2.5.1 Char"/>
    <w:basedOn w:val="15"/>
    <w:qFormat/>
    <w:uiPriority w:val="0"/>
    <w:rPr>
      <w:rFonts w:eastAsia="宋体"/>
      <w:b/>
      <w:kern w:val="2"/>
      <w:sz w:val="28"/>
      <w:szCs w:val="24"/>
      <w:lang w:val="en-US" w:eastAsia="zh-CN" w:bidi="ar-SA"/>
    </w:rPr>
  </w:style>
  <w:style w:type="character" w:customStyle="1" w:styleId="32">
    <w:name w:val="!方案4.3.1 Char Char"/>
    <w:basedOn w:val="15"/>
    <w:qFormat/>
    <w:uiPriority w:val="0"/>
    <w:rPr>
      <w:rFonts w:ascii="宋体" w:eastAsia="宋体" w:cs="宋体"/>
      <w:kern w:val="2"/>
      <w:sz w:val="28"/>
      <w:szCs w:val="28"/>
      <w:lang w:val="zh-CN" w:eastAsia="zh-CN" w:bidi="ar-SA"/>
    </w:rPr>
  </w:style>
  <w:style w:type="character" w:customStyle="1" w:styleId="33">
    <w:name w:val="!方案4.5.1 Char Char"/>
    <w:basedOn w:val="15"/>
    <w:qFormat/>
    <w:uiPriority w:val="0"/>
    <w:rPr>
      <w:rFonts w:ascii="宋体" w:eastAsia="宋体" w:cs="宋体"/>
      <w:kern w:val="2"/>
      <w:sz w:val="28"/>
      <w:szCs w:val="28"/>
      <w:lang w:val="zh-CN" w:eastAsia="zh-CN" w:bidi="ar-SA"/>
    </w:rPr>
  </w:style>
  <w:style w:type="character" w:customStyle="1" w:styleId="34">
    <w:name w:val="样式 !方案4.3.1 + Times New Roman Char"/>
    <w:basedOn w:val="32"/>
    <w:qFormat/>
    <w:uiPriority w:val="0"/>
    <w:rPr>
      <w:rFonts w:ascii="宋体" w:eastAsia="宋体" w:cs="宋体"/>
      <w:kern w:val="2"/>
      <w:sz w:val="28"/>
      <w:szCs w:val="28"/>
      <w:lang w:val="zh-CN" w:eastAsia="zh-CN" w:bidi="ar-SA"/>
    </w:rPr>
  </w:style>
  <w:style w:type="character" w:customStyle="1" w:styleId="35">
    <w:name w:val="！正文标题1.1 Char"/>
    <w:basedOn w:val="15"/>
    <w:link w:val="36"/>
    <w:qFormat/>
    <w:uiPriority w:val="0"/>
    <w:rPr>
      <w:rFonts w:eastAsia="黑体"/>
      <w:b/>
      <w:bCs/>
      <w:kern w:val="2"/>
      <w:sz w:val="28"/>
      <w:szCs w:val="28"/>
      <w:lang w:val="zh-CN"/>
    </w:rPr>
  </w:style>
  <w:style w:type="paragraph" w:customStyle="1" w:styleId="36">
    <w:name w:val="！正文标题1.1"/>
    <w:basedOn w:val="37"/>
    <w:link w:val="35"/>
    <w:qFormat/>
    <w:uiPriority w:val="0"/>
    <w:pPr>
      <w:numPr>
        <w:ilvl w:val="1"/>
      </w:numPr>
      <w:spacing w:before="0"/>
      <w:outlineLvl w:val="1"/>
    </w:pPr>
    <w:rPr>
      <w:lang w:val="zh-CN"/>
    </w:rPr>
  </w:style>
  <w:style w:type="paragraph" w:customStyle="1" w:styleId="37">
    <w:name w:val="！正文标题1"/>
    <w:basedOn w:val="1"/>
    <w:qFormat/>
    <w:uiPriority w:val="0"/>
    <w:pPr>
      <w:numPr>
        <w:ilvl w:val="0"/>
        <w:numId w:val="2"/>
      </w:numPr>
      <w:autoSpaceDE w:val="0"/>
      <w:autoSpaceDN w:val="0"/>
      <w:adjustRightInd w:val="0"/>
      <w:spacing w:before="120" w:line="500" w:lineRule="exact"/>
      <w:outlineLvl w:val="0"/>
    </w:pPr>
    <w:rPr>
      <w:rFonts w:eastAsia="黑体"/>
      <w:b/>
      <w:bCs/>
      <w:sz w:val="28"/>
      <w:szCs w:val="28"/>
    </w:rPr>
  </w:style>
  <w:style w:type="character" w:customStyle="1" w:styleId="38">
    <w:name w:val="!方案4.1.1 Char Char"/>
    <w:basedOn w:val="15"/>
    <w:link w:val="39"/>
    <w:qFormat/>
    <w:uiPriority w:val="0"/>
    <w:rPr>
      <w:rFonts w:ascii="宋体" w:eastAsia="宋体" w:cs="宋体"/>
      <w:kern w:val="2"/>
      <w:sz w:val="28"/>
      <w:szCs w:val="28"/>
      <w:lang w:val="zh-CN" w:eastAsia="zh-CN" w:bidi="ar-SA"/>
    </w:rPr>
  </w:style>
  <w:style w:type="paragraph" w:customStyle="1" w:styleId="39">
    <w:name w:val="!方案4.1.1"/>
    <w:basedOn w:val="1"/>
    <w:link w:val="38"/>
    <w:qFormat/>
    <w:uiPriority w:val="0"/>
    <w:pPr>
      <w:numPr>
        <w:ilvl w:val="2"/>
        <w:numId w:val="3"/>
      </w:numPr>
      <w:autoSpaceDE w:val="0"/>
      <w:autoSpaceDN w:val="0"/>
      <w:adjustRightInd w:val="0"/>
      <w:spacing w:line="540" w:lineRule="exact"/>
    </w:pPr>
    <w:rPr>
      <w:rFonts w:ascii="宋体" w:cs="宋体"/>
      <w:sz w:val="28"/>
      <w:szCs w:val="28"/>
      <w:lang w:val="zh-CN"/>
    </w:rPr>
  </w:style>
  <w:style w:type="character" w:customStyle="1" w:styleId="40">
    <w:name w:val="样式 !方案4.1.1 + 加粗 Char"/>
    <w:basedOn w:val="38"/>
    <w:link w:val="41"/>
    <w:qFormat/>
    <w:uiPriority w:val="0"/>
    <w:rPr>
      <w:rFonts w:ascii="宋体" w:eastAsia="宋体" w:cs="宋体"/>
      <w:b/>
      <w:bCs/>
      <w:kern w:val="2"/>
      <w:sz w:val="28"/>
      <w:szCs w:val="28"/>
      <w:lang w:val="zh-CN" w:eastAsia="zh-CN" w:bidi="ar-SA"/>
    </w:rPr>
  </w:style>
  <w:style w:type="paragraph" w:customStyle="1" w:styleId="41">
    <w:name w:val="样式 !方案4.1.1 + 加粗"/>
    <w:basedOn w:val="39"/>
    <w:link w:val="40"/>
    <w:qFormat/>
    <w:uiPriority w:val="0"/>
    <w:pPr>
      <w:numPr>
        <w:ilvl w:val="0"/>
        <w:numId w:val="0"/>
      </w:numPr>
    </w:pPr>
    <w:rPr>
      <w:b/>
      <w:bCs/>
    </w:rPr>
  </w:style>
  <w:style w:type="character" w:customStyle="1" w:styleId="42">
    <w:name w:val="！正文4.1.1 + 非加粗 Char"/>
    <w:basedOn w:val="15"/>
    <w:link w:val="43"/>
    <w:qFormat/>
    <w:uiPriority w:val="0"/>
    <w:rPr>
      <w:rFonts w:eastAsia="宋体"/>
      <w:kern w:val="2"/>
      <w:sz w:val="28"/>
      <w:szCs w:val="24"/>
      <w:lang w:val="en-US" w:eastAsia="zh-CN" w:bidi="ar-SA"/>
    </w:rPr>
  </w:style>
  <w:style w:type="paragraph" w:customStyle="1" w:styleId="43">
    <w:name w:val="！正文4.1.1 + 非加粗"/>
    <w:basedOn w:val="1"/>
    <w:link w:val="42"/>
    <w:qFormat/>
    <w:uiPriority w:val="0"/>
    <w:pPr>
      <w:numPr>
        <w:ilvl w:val="0"/>
        <w:numId w:val="4"/>
      </w:numPr>
      <w:spacing w:line="500" w:lineRule="exact"/>
    </w:pPr>
    <w:rPr>
      <w:sz w:val="28"/>
    </w:rPr>
  </w:style>
  <w:style w:type="character" w:customStyle="1" w:styleId="44">
    <w:name w:val="!方案4.4.1 Char"/>
    <w:basedOn w:val="15"/>
    <w:link w:val="45"/>
    <w:qFormat/>
    <w:uiPriority w:val="0"/>
    <w:rPr>
      <w:rFonts w:ascii="宋体" w:eastAsia="宋体" w:cs="宋体"/>
      <w:kern w:val="2"/>
      <w:sz w:val="28"/>
      <w:szCs w:val="28"/>
      <w:lang w:val="zh-CN" w:eastAsia="zh-CN" w:bidi="ar-SA"/>
    </w:rPr>
  </w:style>
  <w:style w:type="paragraph" w:customStyle="1" w:styleId="45">
    <w:name w:val="!方案4.4.1"/>
    <w:basedOn w:val="1"/>
    <w:next w:val="39"/>
    <w:link w:val="44"/>
    <w:qFormat/>
    <w:uiPriority w:val="0"/>
    <w:pPr>
      <w:numPr>
        <w:ilvl w:val="2"/>
        <w:numId w:val="5"/>
      </w:numPr>
      <w:autoSpaceDE w:val="0"/>
      <w:autoSpaceDN w:val="0"/>
      <w:adjustRightInd w:val="0"/>
      <w:spacing w:line="500" w:lineRule="exact"/>
    </w:pPr>
    <w:rPr>
      <w:rFonts w:ascii="宋体" w:cs="宋体"/>
      <w:sz w:val="28"/>
      <w:szCs w:val="28"/>
      <w:lang w:val="zh-CN"/>
    </w:rPr>
  </w:style>
  <w:style w:type="character" w:customStyle="1" w:styleId="46">
    <w:name w:val="样式1 Char"/>
    <w:basedOn w:val="44"/>
    <w:link w:val="47"/>
    <w:qFormat/>
    <w:uiPriority w:val="0"/>
    <w:rPr>
      <w:rFonts w:ascii="宋体" w:eastAsia="宋体" w:cs="宋体"/>
      <w:kern w:val="2"/>
      <w:sz w:val="28"/>
      <w:szCs w:val="28"/>
      <w:lang w:val="zh-CN" w:eastAsia="zh-CN" w:bidi="ar-SA"/>
    </w:rPr>
  </w:style>
  <w:style w:type="paragraph" w:customStyle="1" w:styleId="47">
    <w:name w:val="样式1"/>
    <w:basedOn w:val="45"/>
    <w:link w:val="46"/>
    <w:qFormat/>
    <w:uiPriority w:val="0"/>
    <w:pPr>
      <w:numPr>
        <w:ilvl w:val="0"/>
      </w:numPr>
    </w:pPr>
  </w:style>
  <w:style w:type="character" w:customStyle="1" w:styleId="48">
    <w:name w:val="样式 样式1 + (符号) 宋体 Char"/>
    <w:basedOn w:val="46"/>
    <w:link w:val="49"/>
    <w:qFormat/>
    <w:uiPriority w:val="0"/>
    <w:rPr>
      <w:rFonts w:ascii="宋体" w:eastAsia="宋体" w:cs="宋体"/>
      <w:kern w:val="2"/>
      <w:sz w:val="28"/>
      <w:szCs w:val="28"/>
      <w:lang w:val="zh-CN" w:eastAsia="zh-CN" w:bidi="ar-SA"/>
    </w:rPr>
  </w:style>
  <w:style w:type="paragraph" w:customStyle="1" w:styleId="49">
    <w:name w:val="样式 样式1 + (符号) 宋体"/>
    <w:basedOn w:val="47"/>
    <w:link w:val="48"/>
    <w:qFormat/>
    <w:uiPriority w:val="0"/>
    <w:pPr>
      <w:spacing w:line="480" w:lineRule="exact"/>
    </w:pPr>
  </w:style>
  <w:style w:type="character" w:customStyle="1" w:styleId="50">
    <w:name w:val="!方案4.1.1 Char"/>
    <w:basedOn w:val="15"/>
    <w:qFormat/>
    <w:uiPriority w:val="0"/>
    <w:rPr>
      <w:rFonts w:ascii="宋体" w:eastAsia="宋体" w:cs="宋体"/>
      <w:kern w:val="2"/>
      <w:sz w:val="28"/>
      <w:szCs w:val="28"/>
      <w:lang w:val="zh-CN" w:eastAsia="zh-CN" w:bidi="ar-SA"/>
    </w:rPr>
  </w:style>
  <w:style w:type="character" w:customStyle="1" w:styleId="51">
    <w:name w:val="!正文2.5.1 Char Char"/>
    <w:basedOn w:val="15"/>
    <w:link w:val="52"/>
    <w:qFormat/>
    <w:uiPriority w:val="0"/>
    <w:rPr>
      <w:b/>
      <w:kern w:val="2"/>
      <w:sz w:val="28"/>
      <w:szCs w:val="24"/>
    </w:rPr>
  </w:style>
  <w:style w:type="paragraph" w:customStyle="1" w:styleId="52">
    <w:name w:val="!正文2.5.1"/>
    <w:basedOn w:val="1"/>
    <w:link w:val="51"/>
    <w:qFormat/>
    <w:uiPriority w:val="0"/>
    <w:pPr>
      <w:numPr>
        <w:ilvl w:val="2"/>
        <w:numId w:val="6"/>
      </w:numPr>
      <w:spacing w:line="500" w:lineRule="exact"/>
    </w:pPr>
    <w:rPr>
      <w:b/>
      <w:sz w:val="28"/>
    </w:rPr>
  </w:style>
  <w:style w:type="character" w:customStyle="1" w:styleId="53">
    <w:name w:val="！正文标题1.2.1 Char Char"/>
    <w:basedOn w:val="15"/>
    <w:link w:val="54"/>
    <w:qFormat/>
    <w:uiPriority w:val="0"/>
    <w:rPr>
      <w:rFonts w:eastAsia="宋体"/>
      <w:b/>
      <w:kern w:val="2"/>
      <w:sz w:val="28"/>
      <w:szCs w:val="24"/>
      <w:lang w:val="en-US" w:eastAsia="zh-CN" w:bidi="ar-SA"/>
    </w:rPr>
  </w:style>
  <w:style w:type="paragraph" w:customStyle="1" w:styleId="54">
    <w:name w:val="！正文标题1.2.1"/>
    <w:basedOn w:val="1"/>
    <w:link w:val="53"/>
    <w:qFormat/>
    <w:uiPriority w:val="0"/>
    <w:pPr>
      <w:numPr>
        <w:ilvl w:val="2"/>
        <w:numId w:val="7"/>
      </w:numPr>
      <w:spacing w:line="500" w:lineRule="exact"/>
      <w:outlineLvl w:val="2"/>
    </w:pPr>
    <w:rPr>
      <w:b/>
      <w:sz w:val="28"/>
    </w:rPr>
  </w:style>
  <w:style w:type="character" w:customStyle="1" w:styleId="55">
    <w:name w:val="!正文缩2 Char"/>
    <w:basedOn w:val="15"/>
    <w:link w:val="56"/>
    <w:qFormat/>
    <w:locked/>
    <w:uiPriority w:val="0"/>
    <w:rPr>
      <w:rFonts w:ascii="宋体" w:hAnsi="宋体" w:eastAsia="宋体" w:cs="宋体"/>
      <w:kern w:val="2"/>
      <w:sz w:val="28"/>
      <w:szCs w:val="28"/>
      <w:lang w:val="zh-CN" w:eastAsia="zh-CN" w:bidi="ar-SA"/>
    </w:rPr>
  </w:style>
  <w:style w:type="paragraph" w:customStyle="1" w:styleId="56">
    <w:name w:val="!正文缩2"/>
    <w:basedOn w:val="1"/>
    <w:link w:val="55"/>
    <w:qFormat/>
    <w:uiPriority w:val="0"/>
    <w:pPr>
      <w:spacing w:line="500" w:lineRule="exact"/>
      <w:ind w:firstLine="200" w:firstLineChars="200"/>
    </w:pPr>
    <w:rPr>
      <w:rFonts w:ascii="宋体" w:hAnsi="宋体" w:cs="宋体"/>
      <w:sz w:val="28"/>
      <w:szCs w:val="28"/>
      <w:lang w:val="zh-CN"/>
    </w:rPr>
  </w:style>
  <w:style w:type="paragraph" w:customStyle="1" w:styleId="57">
    <w:name w:val="！正文6.1.1"/>
    <w:basedOn w:val="1"/>
    <w:qFormat/>
    <w:uiPriority w:val="0"/>
    <w:pPr>
      <w:spacing w:line="500" w:lineRule="exact"/>
      <w:ind w:left="420" w:hanging="420"/>
      <w:jc w:val="left"/>
    </w:pPr>
    <w:rPr>
      <w:sz w:val="28"/>
    </w:rPr>
  </w:style>
  <w:style w:type="paragraph" w:customStyle="1" w:styleId="58">
    <w:name w:val="!方案4.3.1"/>
    <w:basedOn w:val="1"/>
    <w:qFormat/>
    <w:uiPriority w:val="0"/>
    <w:pPr>
      <w:numPr>
        <w:ilvl w:val="2"/>
        <w:numId w:val="8"/>
      </w:numPr>
      <w:autoSpaceDE w:val="0"/>
      <w:autoSpaceDN w:val="0"/>
      <w:adjustRightInd w:val="0"/>
      <w:spacing w:line="460" w:lineRule="exact"/>
    </w:pPr>
    <w:rPr>
      <w:rFonts w:ascii="宋体" w:cs="宋体"/>
      <w:sz w:val="28"/>
      <w:szCs w:val="28"/>
      <w:lang w:val="zh-CN"/>
    </w:rPr>
  </w:style>
  <w:style w:type="paragraph" w:customStyle="1" w:styleId="59">
    <w:name w:val="!4.1.4.1"/>
    <w:basedOn w:val="1"/>
    <w:qFormat/>
    <w:uiPriority w:val="0"/>
    <w:pPr>
      <w:numPr>
        <w:ilvl w:val="0"/>
        <w:numId w:val="9"/>
      </w:numPr>
      <w:spacing w:line="480" w:lineRule="exact"/>
      <w:ind w:left="100" w:leftChars="100"/>
    </w:pPr>
    <w:rPr>
      <w:sz w:val="28"/>
    </w:rPr>
  </w:style>
  <w:style w:type="paragraph" w:customStyle="1" w:styleId="60">
    <w:name w:val="样式3.2.1"/>
    <w:basedOn w:val="1"/>
    <w:qFormat/>
    <w:uiPriority w:val="0"/>
    <w:pPr>
      <w:numPr>
        <w:ilvl w:val="0"/>
        <w:numId w:val="10"/>
      </w:numPr>
      <w:spacing w:line="480" w:lineRule="exact"/>
      <w:ind w:left="0" w:firstLine="0"/>
    </w:pPr>
    <w:rPr>
      <w:color w:val="000000"/>
      <w:sz w:val="28"/>
    </w:rPr>
  </w:style>
  <w:style w:type="paragraph" w:customStyle="1" w:styleId="61">
    <w:name w:val="!4.5.2.1"/>
    <w:basedOn w:val="1"/>
    <w:qFormat/>
    <w:uiPriority w:val="0"/>
    <w:pPr>
      <w:numPr>
        <w:ilvl w:val="0"/>
        <w:numId w:val="11"/>
      </w:numPr>
      <w:spacing w:line="480" w:lineRule="exact"/>
      <w:ind w:left="100" w:leftChars="100"/>
    </w:pPr>
    <w:rPr>
      <w:sz w:val="28"/>
    </w:rPr>
  </w:style>
  <w:style w:type="paragraph" w:customStyle="1" w:styleId="62">
    <w:name w:val="！正文4.2.3.1"/>
    <w:basedOn w:val="1"/>
    <w:qFormat/>
    <w:uiPriority w:val="0"/>
    <w:pPr>
      <w:numPr>
        <w:ilvl w:val="0"/>
        <w:numId w:val="12"/>
      </w:numPr>
      <w:spacing w:line="500" w:lineRule="exact"/>
    </w:pPr>
    <w:rPr>
      <w:sz w:val="28"/>
    </w:rPr>
  </w:style>
  <w:style w:type="paragraph" w:customStyle="1" w:styleId="63">
    <w:name w:val="!正文1。1。1"/>
    <w:basedOn w:val="1"/>
    <w:qFormat/>
    <w:uiPriority w:val="0"/>
  </w:style>
  <w:style w:type="paragraph" w:customStyle="1" w:styleId="64">
    <w:name w:val="！正文4.2.1.1"/>
    <w:basedOn w:val="1"/>
    <w:qFormat/>
    <w:uiPriority w:val="0"/>
    <w:pPr>
      <w:numPr>
        <w:ilvl w:val="0"/>
        <w:numId w:val="13"/>
      </w:numPr>
      <w:spacing w:line="500" w:lineRule="exact"/>
      <w:jc w:val="left"/>
    </w:pPr>
    <w:rPr>
      <w:sz w:val="28"/>
    </w:rPr>
  </w:style>
  <w:style w:type="paragraph" w:customStyle="1" w:styleId="65">
    <w:name w:val="!正文1.2.4.1"/>
    <w:basedOn w:val="1"/>
    <w:qFormat/>
    <w:uiPriority w:val="0"/>
    <w:pPr>
      <w:numPr>
        <w:ilvl w:val="3"/>
        <w:numId w:val="14"/>
      </w:numPr>
      <w:autoSpaceDE w:val="0"/>
      <w:autoSpaceDN w:val="0"/>
      <w:adjustRightInd w:val="0"/>
      <w:spacing w:line="500" w:lineRule="exact"/>
    </w:pPr>
    <w:rPr>
      <w:sz w:val="28"/>
    </w:rPr>
  </w:style>
  <w:style w:type="paragraph" w:customStyle="1" w:styleId="66">
    <w:name w:val="!正文1.2.2.1"/>
    <w:basedOn w:val="1"/>
    <w:qFormat/>
    <w:uiPriority w:val="0"/>
    <w:pPr>
      <w:numPr>
        <w:ilvl w:val="3"/>
        <w:numId w:val="15"/>
      </w:numPr>
      <w:spacing w:line="500" w:lineRule="exact"/>
      <w:outlineLvl w:val="3"/>
    </w:pPr>
    <w:rPr>
      <w:sz w:val="28"/>
    </w:rPr>
  </w:style>
  <w:style w:type="paragraph" w:customStyle="1" w:styleId="67">
    <w:name w:val="!正文1.2.3.1"/>
    <w:basedOn w:val="66"/>
    <w:qFormat/>
    <w:uiPriority w:val="0"/>
    <w:pPr>
      <w:numPr>
        <w:numId w:val="7"/>
      </w:numPr>
    </w:pPr>
    <w:rPr>
      <w:lang w:val="zh-CN"/>
    </w:rPr>
  </w:style>
  <w:style w:type="paragraph" w:customStyle="1" w:styleId="68">
    <w:name w:val="样式 !方案4.2.1 + 加粗"/>
    <w:basedOn w:val="69"/>
    <w:qFormat/>
    <w:uiPriority w:val="0"/>
    <w:pPr>
      <w:spacing w:line="500" w:lineRule="exact"/>
      <w:ind w:left="100" w:leftChars="100"/>
    </w:pPr>
    <w:rPr>
      <w:bCs/>
    </w:rPr>
  </w:style>
  <w:style w:type="paragraph" w:customStyle="1" w:styleId="69">
    <w:name w:val="!方案4.2.1"/>
    <w:basedOn w:val="1"/>
    <w:qFormat/>
    <w:uiPriority w:val="0"/>
    <w:pPr>
      <w:autoSpaceDE w:val="0"/>
      <w:autoSpaceDN w:val="0"/>
      <w:adjustRightInd w:val="0"/>
      <w:spacing w:line="520" w:lineRule="exact"/>
    </w:pPr>
    <w:rPr>
      <w:rFonts w:ascii="宋体" w:cs="宋体"/>
      <w:sz w:val="28"/>
      <w:szCs w:val="28"/>
      <w:lang w:val="zh-CN"/>
    </w:rPr>
  </w:style>
  <w:style w:type="paragraph" w:customStyle="1" w:styleId="70">
    <w:name w:val="!正文标题1.3.1"/>
    <w:basedOn w:val="1"/>
    <w:qFormat/>
    <w:uiPriority w:val="0"/>
    <w:pPr>
      <w:numPr>
        <w:ilvl w:val="2"/>
        <w:numId w:val="16"/>
      </w:numPr>
      <w:autoSpaceDE w:val="0"/>
      <w:autoSpaceDN w:val="0"/>
      <w:adjustRightInd w:val="0"/>
      <w:spacing w:line="500" w:lineRule="exact"/>
      <w:outlineLvl w:val="2"/>
    </w:pPr>
    <w:rPr>
      <w:rFonts w:ascii="宋体" w:cs="宋体"/>
      <w:b/>
      <w:sz w:val="28"/>
      <w:szCs w:val="28"/>
      <w:lang w:val="zh-CN"/>
    </w:rPr>
  </w:style>
  <w:style w:type="paragraph" w:customStyle="1" w:styleId="71">
    <w:name w:val="！4.2.2.1"/>
    <w:basedOn w:val="1"/>
    <w:qFormat/>
    <w:uiPriority w:val="0"/>
    <w:pPr>
      <w:numPr>
        <w:ilvl w:val="0"/>
        <w:numId w:val="17"/>
      </w:numPr>
      <w:spacing w:line="480" w:lineRule="exact"/>
    </w:pPr>
    <w:rPr>
      <w:sz w:val="28"/>
    </w:rPr>
  </w:style>
  <w:style w:type="paragraph" w:customStyle="1" w:styleId="72">
    <w:name w:val="！正文4.2.2.1"/>
    <w:basedOn w:val="1"/>
    <w:qFormat/>
    <w:uiPriority w:val="0"/>
    <w:pPr>
      <w:numPr>
        <w:ilvl w:val="0"/>
        <w:numId w:val="18"/>
      </w:numPr>
      <w:spacing w:line="500" w:lineRule="exact"/>
      <w:jc w:val="left"/>
    </w:pPr>
    <w:rPr>
      <w:sz w:val="28"/>
    </w:rPr>
  </w:style>
  <w:style w:type="paragraph" w:customStyle="1" w:styleId="73">
    <w:name w:val="！正文6.4"/>
    <w:basedOn w:val="1"/>
    <w:qFormat/>
    <w:uiPriority w:val="0"/>
    <w:pPr>
      <w:numPr>
        <w:ilvl w:val="2"/>
        <w:numId w:val="19"/>
      </w:numPr>
      <w:spacing w:line="480" w:lineRule="exact"/>
      <w:ind w:left="0" w:leftChars="256" w:right="-28" w:rightChars="-28" w:firstLine="150" w:firstLineChars="150"/>
      <w:outlineLvl w:val="2"/>
    </w:pPr>
    <w:rPr>
      <w:sz w:val="28"/>
    </w:rPr>
  </w:style>
  <w:style w:type="paragraph" w:customStyle="1" w:styleId="74">
    <w:name w:val="!方案4.5.1"/>
    <w:basedOn w:val="1"/>
    <w:qFormat/>
    <w:uiPriority w:val="0"/>
    <w:pPr>
      <w:numPr>
        <w:ilvl w:val="2"/>
        <w:numId w:val="20"/>
      </w:numPr>
      <w:autoSpaceDE w:val="0"/>
      <w:autoSpaceDN w:val="0"/>
      <w:adjustRightInd w:val="0"/>
      <w:spacing w:line="500" w:lineRule="exact"/>
    </w:pPr>
    <w:rPr>
      <w:rFonts w:ascii="宋体" w:cs="宋体"/>
      <w:sz w:val="28"/>
      <w:szCs w:val="28"/>
      <w:lang w:val="zh-CN"/>
    </w:rPr>
  </w:style>
  <w:style w:type="paragraph" w:customStyle="1" w:styleId="75">
    <w:name w:val="样式 !方案4.5.1 + 段后: 6 磅"/>
    <w:basedOn w:val="74"/>
    <w:qFormat/>
    <w:uiPriority w:val="0"/>
    <w:pPr>
      <w:numPr>
        <w:ilvl w:val="0"/>
        <w:numId w:val="0"/>
      </w:numPr>
      <w:spacing w:after="120"/>
    </w:pPr>
    <w:rPr>
      <w:szCs w:val="20"/>
    </w:rPr>
  </w:style>
  <w:style w:type="paragraph" w:customStyle="1" w:styleId="76">
    <w:name w:val="样式4.2.1.1"/>
    <w:basedOn w:val="1"/>
    <w:qFormat/>
    <w:uiPriority w:val="0"/>
    <w:pPr>
      <w:numPr>
        <w:ilvl w:val="0"/>
        <w:numId w:val="21"/>
      </w:numPr>
      <w:spacing w:line="500" w:lineRule="exact"/>
    </w:pPr>
    <w:rPr>
      <w:sz w:val="28"/>
    </w:rPr>
  </w:style>
  <w:style w:type="paragraph" w:customStyle="1" w:styleId="77">
    <w:name w:val="样式 !方案4.3.1 + Times New Roman"/>
    <w:basedOn w:val="58"/>
    <w:qFormat/>
    <w:uiPriority w:val="0"/>
    <w:pPr>
      <w:spacing w:line="520" w:lineRule="exact"/>
    </w:pPr>
    <w:rPr>
      <w:rFonts w:ascii="Times New Roman"/>
    </w:rPr>
  </w:style>
  <w:style w:type="paragraph" w:customStyle="1" w:styleId="78">
    <w:name w:val="样式 !方案4.1.1 + (符号) 宋体 加粗 行距: 固定值 24 磅"/>
    <w:basedOn w:val="39"/>
    <w:qFormat/>
    <w:uiPriority w:val="0"/>
    <w:pPr>
      <w:numPr>
        <w:ilvl w:val="0"/>
        <w:numId w:val="0"/>
      </w:numPr>
      <w:spacing w:line="480" w:lineRule="exact"/>
    </w:pPr>
    <w:rPr>
      <w:rFonts w:hAnsi="宋体"/>
      <w:b/>
      <w:bCs/>
      <w:szCs w:val="20"/>
    </w:rPr>
  </w:style>
  <w:style w:type="paragraph" w:customStyle="1" w:styleId="79">
    <w:name w:val="!4.2.2.1"/>
    <w:basedOn w:val="1"/>
    <w:qFormat/>
    <w:uiPriority w:val="0"/>
    <w:pPr>
      <w:numPr>
        <w:ilvl w:val="0"/>
        <w:numId w:val="22"/>
      </w:numPr>
      <w:spacing w:line="480" w:lineRule="exact"/>
      <w:ind w:left="100" w:leftChars="100"/>
    </w:pPr>
    <w:rPr>
      <w:sz w:val="28"/>
    </w:rPr>
  </w:style>
  <w:style w:type="paragraph" w:customStyle="1" w:styleId="80">
    <w:name w:val="！正文3.1.1"/>
    <w:basedOn w:val="1"/>
    <w:qFormat/>
    <w:uiPriority w:val="0"/>
    <w:pPr>
      <w:numPr>
        <w:ilvl w:val="0"/>
        <w:numId w:val="23"/>
      </w:numPr>
      <w:spacing w:line="480" w:lineRule="exact"/>
    </w:pPr>
    <w:rPr>
      <w:sz w:val="28"/>
    </w:rPr>
  </w:style>
  <w:style w:type="paragraph" w:customStyle="1" w:styleId="81">
    <w:name w:val="！正文3.3.1"/>
    <w:basedOn w:val="1"/>
    <w:qFormat/>
    <w:uiPriority w:val="0"/>
    <w:pPr>
      <w:numPr>
        <w:ilvl w:val="0"/>
        <w:numId w:val="24"/>
      </w:numPr>
      <w:spacing w:line="480" w:lineRule="exact"/>
    </w:pPr>
    <w:rPr>
      <w:sz w:val="28"/>
    </w:rPr>
  </w:style>
  <w:style w:type="paragraph" w:customStyle="1" w:styleId="82">
    <w:name w:val="!正文3.4.1"/>
    <w:basedOn w:val="1"/>
    <w:qFormat/>
    <w:uiPriority w:val="0"/>
    <w:pPr>
      <w:numPr>
        <w:ilvl w:val="0"/>
        <w:numId w:val="25"/>
      </w:numPr>
      <w:autoSpaceDE w:val="0"/>
      <w:autoSpaceDN w:val="0"/>
      <w:adjustRightInd w:val="0"/>
      <w:spacing w:line="480" w:lineRule="exact"/>
    </w:pPr>
    <w:rPr>
      <w:sz w:val="28"/>
    </w:rPr>
  </w:style>
  <w:style w:type="paragraph" w:customStyle="1" w:styleId="83">
    <w:name w:val="！正文3.5.1"/>
    <w:basedOn w:val="1"/>
    <w:qFormat/>
    <w:uiPriority w:val="0"/>
    <w:pPr>
      <w:numPr>
        <w:ilvl w:val="0"/>
        <w:numId w:val="26"/>
      </w:numPr>
      <w:spacing w:line="480" w:lineRule="exact"/>
    </w:pPr>
    <w:rPr>
      <w:sz w:val="28"/>
    </w:rPr>
  </w:style>
  <w:style w:type="paragraph" w:customStyle="1" w:styleId="84">
    <w:name w:val="样式 ！正文标题1 + 行距: 固定值 23 磅"/>
    <w:basedOn w:val="37"/>
    <w:qFormat/>
    <w:uiPriority w:val="0"/>
    <w:pPr>
      <w:spacing w:before="240" w:line="460" w:lineRule="exact"/>
    </w:pPr>
    <w:rPr>
      <w:rFonts w:eastAsia="宋体" w:cs="宋体"/>
      <w:szCs w:val="20"/>
    </w:rPr>
  </w:style>
  <w:style w:type="paragraph" w:customStyle="1" w:styleId="85">
    <w:name w:val="！4.2.1.1"/>
    <w:basedOn w:val="1"/>
    <w:qFormat/>
    <w:uiPriority w:val="0"/>
    <w:pPr>
      <w:numPr>
        <w:ilvl w:val="0"/>
        <w:numId w:val="27"/>
      </w:numPr>
      <w:spacing w:line="500" w:lineRule="exact"/>
    </w:pPr>
    <w:rPr>
      <w:sz w:val="28"/>
    </w:rPr>
  </w:style>
  <w:style w:type="paragraph" w:customStyle="1" w:styleId="86">
    <w:name w:val="样式 ！正文2.4 + 行距: 固定值 25 磅"/>
    <w:basedOn w:val="1"/>
    <w:qFormat/>
    <w:uiPriority w:val="0"/>
    <w:pPr>
      <w:numPr>
        <w:ilvl w:val="2"/>
        <w:numId w:val="28"/>
      </w:numPr>
      <w:spacing w:line="440" w:lineRule="exact"/>
      <w:ind w:left="256" w:leftChars="256" w:right="-28" w:rightChars="-28" w:firstLine="192" w:firstLineChars="192"/>
    </w:pPr>
  </w:style>
  <w:style w:type="paragraph" w:customStyle="1" w:styleId="87">
    <w:name w:val="!4.2.3.1"/>
    <w:basedOn w:val="1"/>
    <w:qFormat/>
    <w:uiPriority w:val="0"/>
    <w:pPr>
      <w:numPr>
        <w:ilvl w:val="0"/>
        <w:numId w:val="28"/>
      </w:numPr>
      <w:spacing w:line="500" w:lineRule="exact"/>
      <w:ind w:left="256" w:leftChars="256" w:right="-28" w:rightChars="-28" w:firstLine="192" w:firstLineChars="192"/>
    </w:pPr>
    <w:rPr>
      <w:sz w:val="28"/>
    </w:rPr>
  </w:style>
  <w:style w:type="paragraph" w:customStyle="1" w:styleId="88">
    <w:name w:val="样式 !正文2.5.1 + 黑色 行距: 固定值 24 磅"/>
    <w:basedOn w:val="52"/>
    <w:qFormat/>
    <w:uiPriority w:val="0"/>
    <w:pPr>
      <w:numPr>
        <w:ilvl w:val="0"/>
        <w:numId w:val="29"/>
      </w:numPr>
      <w:spacing w:line="480" w:lineRule="exact"/>
    </w:pPr>
    <w:rPr>
      <w:rFonts w:cs="宋体"/>
      <w:bCs/>
      <w:color w:val="000000"/>
      <w:szCs w:val="20"/>
    </w:rPr>
  </w:style>
  <w:style w:type="paragraph" w:customStyle="1" w:styleId="89">
    <w:name w:val="样式 !正文标题1.4.1 + (符号) 宋体"/>
    <w:basedOn w:val="1"/>
    <w:qFormat/>
    <w:uiPriority w:val="0"/>
    <w:pPr>
      <w:numPr>
        <w:ilvl w:val="0"/>
        <w:numId w:val="30"/>
      </w:numPr>
    </w:pPr>
    <w:rPr>
      <w:b/>
      <w:bCs/>
      <w:color w:val="000000"/>
      <w:sz w:val="28"/>
    </w:rPr>
  </w:style>
  <w:style w:type="paragraph" w:customStyle="1" w:styleId="90">
    <w:name w:val="Char"/>
    <w:basedOn w:val="1"/>
    <w:qFormat/>
    <w:uiPriority w:val="0"/>
    <w:rPr>
      <w:spacing w:val="-2"/>
      <w:kern w:val="0"/>
      <w:sz w:val="24"/>
    </w:rPr>
  </w:style>
  <w:style w:type="paragraph" w:customStyle="1" w:styleId="91">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styleId="92">
    <w:name w:val="Placeholder Text"/>
    <w:basedOn w:val="15"/>
    <w:unhideWhenUsed/>
    <w:qFormat/>
    <w:uiPriority w:val="99"/>
    <w:rPr>
      <w:color w:val="808080"/>
    </w:rPr>
  </w:style>
  <w:style w:type="paragraph" w:customStyle="1" w:styleId="93">
    <w:name w:val="表格1"/>
    <w:basedOn w:val="1"/>
    <w:qFormat/>
    <w:uiPriority w:val="0"/>
    <w:pPr>
      <w:snapToGrid w:val="0"/>
      <w:spacing w:line="360" w:lineRule="exact"/>
      <w:jc w:val="center"/>
    </w:pPr>
    <w:rPr>
      <w:rFonts w:eastAsia="楷体_GB2312"/>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6.xml"/><Relationship Id="rId8" Type="http://schemas.openxmlformats.org/officeDocument/2006/relationships/header" Target="header5.xml"/><Relationship Id="rId7" Type="http://schemas.openxmlformats.org/officeDocument/2006/relationships/header" Target="header4.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2.png"/><Relationship Id="rId15" Type="http://schemas.openxmlformats.org/officeDocument/2006/relationships/theme" Target="theme/theme1.xml"/><Relationship Id="rId14" Type="http://schemas.openxmlformats.org/officeDocument/2006/relationships/footer" Target="footer3.xml"/><Relationship Id="rId13" Type="http://schemas.openxmlformats.org/officeDocument/2006/relationships/header" Target="header9.xml"/><Relationship Id="rId12" Type="http://schemas.openxmlformats.org/officeDocument/2006/relationships/header" Target="header8.xml"/><Relationship Id="rId11" Type="http://schemas.openxmlformats.org/officeDocument/2006/relationships/header" Target="header7.xml"/><Relationship Id="rId10" Type="http://schemas.openxmlformats.org/officeDocument/2006/relationships/footer" Target="footer2.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a:solidFill>
          <a:schemeClr val="lt1"/>
        </a:solidFill>
        <a:ln w="6350">
          <a:solidFill>
            <a:prstClr val="black"/>
          </a:solidFill>
        </a:ln>
      </a:spPr>
      <a:bodyPr rot="0" vertOverflow="overflow" horzOverflow="overflow" vert="horz" wrap="square" lIns="91440" tIns="45720" rIns="91440" bIns="45720" numCol="1" spcCol="0" rtlCol="0" fromWordArt="0" anchor="t" anchorCtr="0" forceAA="0" compatLnSpc="1">
        <a:noAutofit/>
      </a:bodyPr>
      <a:lstStyle/>
      <a:style>
        <a:lnRef idx="0">
          <a:schemeClr val="accent1"/>
        </a:lnRef>
        <a:fillRef idx="0">
          <a:schemeClr val="accent1"/>
        </a:fillRef>
        <a:effectRef idx="0">
          <a:schemeClr val="accent1"/>
        </a:effectRef>
        <a:fontRef idx="minor">
          <a:schemeClr val="dk1"/>
        </a:fontRef>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2086"/>
    <customShpInfo spid="_x0000_s2089"/>
    <customShpInfo spid="_x0000_s1026" textRotate="1"/>
    <customShpInfo spid="_x0000_s2092"/>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3F304BF-95AE-4466-B6C0-4834ECB7DA1B}">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2613</Words>
  <Characters>14900</Characters>
  <Lines>124</Lines>
  <Paragraphs>34</Paragraphs>
  <TotalTime>0</TotalTime>
  <ScaleCrop>false</ScaleCrop>
  <LinksUpToDate>false</LinksUpToDate>
  <CharactersWithSpaces>17479</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2018-05-08T23:51:00Z</dcterms:created>
  <dc:creator>微软用户</dc:creator>
  <cp:lastModifiedBy>Administrator</cp:lastModifiedBy>
  <cp:lastPrinted>2020-04-23T23:39:00Z</cp:lastPrinted>
  <dcterms:modified xsi:type="dcterms:W3CDTF">2020-04-24T07:54:02Z</dcterms:modified>
  <dc:title>岩土工程勘察（详勘）报告</dc:title>
  <cp:revision>118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